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after="0" w:line="520" w:lineRule="exact"/>
        <w:ind w:left="154" w:leftChars="0" w:right="-11" w:rightChars="0" w:hanging="154" w:hangingChars="48"/>
        <w:jc w:val="center"/>
        <w:rPr>
          <w:rFonts w:hint="eastAsia" w:ascii="仿宋" w:hAnsi="仿宋" w:eastAsia="仿宋" w:cs="仿宋"/>
          <w:b/>
          <w:sz w:val="32"/>
          <w:szCs w:val="32"/>
        </w:rPr>
      </w:pPr>
      <w:r>
        <w:rPr>
          <w:rFonts w:hint="eastAsia" w:ascii="仿宋" w:hAnsi="仿宋" w:eastAsia="仿宋" w:cs="仿宋"/>
          <w:b/>
          <w:sz w:val="32"/>
          <w:szCs w:val="32"/>
          <w:lang w:val="en-US" w:eastAsia="zh-CN"/>
        </w:rPr>
        <w:t>内蒙古电力（集团）有限责任公司巴彦淖尔供电分公司2023年批次外第14次招标采购询比采购</w:t>
      </w:r>
      <w:r>
        <w:rPr>
          <w:rFonts w:hint="eastAsia" w:ascii="仿宋" w:hAnsi="仿宋" w:eastAsia="仿宋" w:cs="仿宋"/>
          <w:b/>
          <w:sz w:val="32"/>
          <w:szCs w:val="32"/>
        </w:rPr>
        <w:t>公告</w:t>
      </w:r>
    </w:p>
    <w:p>
      <w:pPr>
        <w:widowControl w:val="0"/>
        <w:spacing w:after="0" w:line="520" w:lineRule="exact"/>
        <w:jc w:val="center"/>
        <w:rPr>
          <w:rFonts w:hint="eastAsia" w:ascii="仿宋" w:hAnsi="仿宋" w:eastAsia="仿宋" w:cs="仿宋"/>
          <w:b/>
          <w:sz w:val="24"/>
          <w:lang w:val="en-US" w:eastAsia="zh-CN"/>
        </w:rPr>
      </w:pPr>
      <w:bookmarkStart w:id="0" w:name="_Toc495644242"/>
      <w:bookmarkStart w:id="1" w:name="_Toc1489"/>
      <w:r>
        <w:rPr>
          <w:rFonts w:hint="eastAsia" w:ascii="仿宋" w:hAnsi="仿宋" w:eastAsia="仿宋" w:cs="仿宋"/>
          <w:b/>
          <w:sz w:val="24"/>
        </w:rPr>
        <w:t>招标编号:BDPY2023—14</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 xml:space="preserve">1. </w:t>
      </w:r>
      <w:r>
        <w:rPr>
          <w:rFonts w:hint="eastAsia" w:ascii="仿宋" w:hAnsi="仿宋" w:eastAsia="仿宋" w:cs="仿宋"/>
          <w:b/>
          <w:sz w:val="24"/>
          <w:szCs w:val="24"/>
          <w:lang w:val="en-US" w:eastAsia="zh-CN"/>
        </w:rPr>
        <w:t>采购</w:t>
      </w:r>
      <w:r>
        <w:rPr>
          <w:rFonts w:hint="eastAsia" w:ascii="仿宋" w:hAnsi="仿宋" w:eastAsia="仿宋" w:cs="仿宋"/>
          <w:b/>
          <w:sz w:val="24"/>
          <w:szCs w:val="24"/>
        </w:rPr>
        <w:t>条件</w:t>
      </w:r>
      <w:bookmarkEnd w:id="0"/>
      <w:bookmarkEnd w:id="1"/>
      <w:r>
        <w:rPr>
          <w:rFonts w:hint="eastAsia" w:ascii="仿宋" w:hAnsi="仿宋" w:eastAsia="仿宋" w:cs="仿宋"/>
          <w:b/>
          <w:sz w:val="24"/>
          <w:szCs w:val="24"/>
        </w:rPr>
        <w:t xml:space="preserve"> </w:t>
      </w:r>
    </w:p>
    <w:p>
      <w:pPr>
        <w:spacing w:after="0" w:line="520" w:lineRule="exact"/>
        <w:ind w:left="-15" w:right="-198" w:rightChars="-90" w:firstLine="420"/>
        <w:rPr>
          <w:rFonts w:hint="eastAsia" w:ascii="仿宋" w:hAnsi="仿宋" w:eastAsia="仿宋" w:cs="仿宋"/>
          <w:b/>
          <w:sz w:val="24"/>
          <w:szCs w:val="24"/>
          <w:u w:val="single"/>
        </w:rPr>
      </w:pPr>
      <w:r>
        <w:rPr>
          <w:rFonts w:hint="eastAsia" w:ascii="仿宋" w:hAnsi="仿宋" w:eastAsia="仿宋" w:cs="仿宋"/>
          <w:sz w:val="24"/>
          <w:szCs w:val="24"/>
        </w:rPr>
        <w:t>本</w:t>
      </w:r>
      <w:r>
        <w:rPr>
          <w:rFonts w:hint="eastAsia" w:ascii="仿宋" w:hAnsi="仿宋" w:eastAsia="仿宋" w:cs="仿宋"/>
          <w:sz w:val="24"/>
          <w:szCs w:val="24"/>
          <w:lang w:val="en-US" w:eastAsia="zh-CN"/>
        </w:rPr>
        <w:t>采购</w:t>
      </w:r>
      <w:r>
        <w:rPr>
          <w:rFonts w:hint="eastAsia" w:ascii="仿宋" w:hAnsi="仿宋" w:eastAsia="仿宋" w:cs="仿宋"/>
          <w:sz w:val="24"/>
          <w:szCs w:val="24"/>
        </w:rPr>
        <w:t>项目</w:t>
      </w:r>
      <w:r>
        <w:rPr>
          <w:rFonts w:hint="eastAsia" w:ascii="仿宋" w:hAnsi="仿宋" w:eastAsia="仿宋" w:cs="仿宋"/>
          <w:sz w:val="24"/>
          <w:szCs w:val="24"/>
          <w:u w:val="single"/>
        </w:rPr>
        <w:t>内蒙古电力（集团）有限责任公司巴彦淖尔供电分公司2023年批次外第14次招标采购</w:t>
      </w:r>
      <w:r>
        <w:rPr>
          <w:rFonts w:hint="eastAsia" w:ascii="仿宋" w:hAnsi="仿宋" w:eastAsia="仿宋" w:cs="仿宋"/>
          <w:sz w:val="24"/>
          <w:szCs w:val="24"/>
          <w:lang w:eastAsia="zh-CN"/>
        </w:rPr>
        <w:t>采购人</w:t>
      </w:r>
      <w:r>
        <w:rPr>
          <w:rFonts w:hint="eastAsia" w:ascii="仿宋" w:hAnsi="仿宋" w:eastAsia="仿宋" w:cs="仿宋"/>
          <w:sz w:val="24"/>
          <w:szCs w:val="24"/>
        </w:rPr>
        <w:t>为</w:t>
      </w:r>
      <w:r>
        <w:rPr>
          <w:rFonts w:hint="eastAsia" w:ascii="仿宋" w:hAnsi="仿宋" w:eastAsia="仿宋" w:cs="仿宋"/>
          <w:sz w:val="24"/>
          <w:szCs w:val="24"/>
          <w:u w:val="single" w:color="000000"/>
        </w:rPr>
        <w:t>内蒙古电力（集团）有限责任公司巴彦淖尔</w:t>
      </w:r>
      <w:r>
        <w:rPr>
          <w:rFonts w:hint="eastAsia" w:ascii="仿宋" w:hAnsi="仿宋" w:eastAsia="仿宋" w:cs="仿宋"/>
          <w:sz w:val="24"/>
          <w:szCs w:val="24"/>
          <w:u w:val="single" w:color="000000"/>
          <w:lang w:val="en-US" w:eastAsia="zh-CN"/>
        </w:rPr>
        <w:t>供电分公司</w:t>
      </w:r>
      <w:r>
        <w:rPr>
          <w:rFonts w:hint="eastAsia" w:ascii="仿宋" w:hAnsi="仿宋" w:eastAsia="仿宋" w:cs="仿宋"/>
          <w:sz w:val="24"/>
          <w:szCs w:val="24"/>
        </w:rPr>
        <w:t>，</w:t>
      </w:r>
      <w:r>
        <w:rPr>
          <w:rFonts w:hint="eastAsia" w:ascii="仿宋" w:hAnsi="仿宋" w:eastAsia="仿宋" w:cs="仿宋"/>
          <w:sz w:val="24"/>
          <w:szCs w:val="24"/>
          <w:lang w:val="en-US" w:eastAsia="zh-CN"/>
        </w:rPr>
        <w:t>采购</w:t>
      </w:r>
      <w:r>
        <w:rPr>
          <w:rFonts w:hint="eastAsia" w:ascii="仿宋" w:hAnsi="仿宋" w:eastAsia="仿宋" w:cs="仿宋"/>
          <w:sz w:val="24"/>
          <w:szCs w:val="24"/>
        </w:rPr>
        <w:t>项目资金来源为自有资金，出资比例100%。该项目已具备</w:t>
      </w:r>
      <w:r>
        <w:rPr>
          <w:rFonts w:hint="eastAsia" w:ascii="仿宋" w:hAnsi="仿宋" w:eastAsia="仿宋" w:cs="仿宋"/>
          <w:sz w:val="24"/>
          <w:szCs w:val="24"/>
          <w:lang w:val="en-US" w:eastAsia="zh-CN"/>
        </w:rPr>
        <w:t>采购</w:t>
      </w:r>
      <w:r>
        <w:rPr>
          <w:rFonts w:hint="eastAsia" w:ascii="仿宋" w:hAnsi="仿宋" w:eastAsia="仿宋" w:cs="仿宋"/>
          <w:sz w:val="24"/>
          <w:szCs w:val="24"/>
        </w:rPr>
        <w:t>条件，现对该项目进行</w:t>
      </w:r>
      <w:r>
        <w:rPr>
          <w:rFonts w:hint="eastAsia" w:ascii="仿宋" w:hAnsi="仿宋" w:eastAsia="仿宋" w:cs="仿宋"/>
          <w:sz w:val="24"/>
          <w:szCs w:val="24"/>
          <w:lang w:val="en-US" w:eastAsia="zh-CN"/>
        </w:rPr>
        <w:t>询比采购</w:t>
      </w:r>
      <w:r>
        <w:rPr>
          <w:rFonts w:hint="eastAsia" w:ascii="仿宋" w:hAnsi="仿宋" w:eastAsia="仿宋" w:cs="仿宋"/>
          <w:sz w:val="24"/>
          <w:szCs w:val="24"/>
        </w:rPr>
        <w:t>。</w:t>
      </w:r>
    </w:p>
    <w:p>
      <w:pPr>
        <w:pStyle w:val="3"/>
        <w:spacing w:after="0" w:line="520" w:lineRule="exact"/>
        <w:ind w:left="0" w:right="-198" w:rightChars="-90" w:firstLine="0"/>
        <w:rPr>
          <w:rFonts w:hint="eastAsia" w:ascii="仿宋" w:hAnsi="仿宋" w:eastAsia="仿宋" w:cs="仿宋"/>
          <w:b/>
          <w:sz w:val="24"/>
          <w:szCs w:val="24"/>
        </w:rPr>
      </w:pPr>
      <w:bookmarkStart w:id="2" w:name="_Toc13446"/>
      <w:bookmarkStart w:id="3" w:name="_Toc495644243"/>
      <w:r>
        <w:rPr>
          <w:rFonts w:hint="eastAsia" w:ascii="仿宋" w:hAnsi="仿宋" w:eastAsia="仿宋" w:cs="仿宋"/>
          <w:b/>
          <w:sz w:val="24"/>
          <w:szCs w:val="24"/>
        </w:rPr>
        <w:t>2. 项目概况与</w:t>
      </w:r>
      <w:r>
        <w:rPr>
          <w:rFonts w:hint="eastAsia" w:ascii="仿宋" w:hAnsi="仿宋" w:eastAsia="仿宋" w:cs="仿宋"/>
          <w:b/>
          <w:sz w:val="24"/>
          <w:szCs w:val="24"/>
          <w:lang w:val="en-US" w:eastAsia="zh-CN"/>
        </w:rPr>
        <w:t>采购</w:t>
      </w:r>
      <w:r>
        <w:rPr>
          <w:rFonts w:hint="eastAsia" w:ascii="仿宋" w:hAnsi="仿宋" w:eastAsia="仿宋" w:cs="仿宋"/>
          <w:b/>
          <w:sz w:val="24"/>
          <w:szCs w:val="24"/>
        </w:rPr>
        <w:t>范围</w:t>
      </w:r>
      <w:bookmarkEnd w:id="2"/>
      <w:bookmarkEnd w:id="3"/>
      <w:r>
        <w:rPr>
          <w:rFonts w:hint="eastAsia" w:ascii="仿宋" w:hAnsi="仿宋" w:eastAsia="仿宋" w:cs="仿宋"/>
          <w:b/>
          <w:sz w:val="24"/>
          <w:szCs w:val="24"/>
        </w:rPr>
        <w:t xml:space="preserve"> </w:t>
      </w:r>
    </w:p>
    <w:p>
      <w:pPr>
        <w:spacing w:after="0" w:line="520" w:lineRule="exact"/>
        <w:ind w:left="-15" w:leftChars="-7" w:right="-198" w:rightChars="-90" w:firstLine="420" w:firstLineChars="175"/>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2.1</w:t>
      </w:r>
      <w:r>
        <w:rPr>
          <w:rFonts w:hint="eastAsia" w:ascii="仿宋" w:hAnsi="仿宋" w:eastAsia="仿宋" w:cs="仿宋"/>
          <w:color w:val="000000"/>
          <w:sz w:val="24"/>
          <w:szCs w:val="24"/>
          <w:lang w:eastAsia="zh-CN"/>
        </w:rPr>
        <w:t>采购项目</w:t>
      </w:r>
      <w:r>
        <w:rPr>
          <w:rFonts w:hint="eastAsia" w:ascii="仿宋" w:hAnsi="仿宋" w:eastAsia="仿宋" w:cs="仿宋"/>
          <w:color w:val="000000"/>
          <w:sz w:val="24"/>
          <w:szCs w:val="24"/>
        </w:rPr>
        <w:t>名称：内蒙古电力（集团）有限责任公司巴彦淖尔供电分公司2023年批次外第14次招标采购</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rPr>
        <w:t>2.2本次</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内容:</w:t>
      </w:r>
      <w:r>
        <w:rPr>
          <w:rFonts w:hint="eastAsia" w:ascii="仿宋" w:hAnsi="仿宋" w:eastAsia="仿宋" w:cs="仿宋"/>
          <w:sz w:val="24"/>
          <w:szCs w:val="24"/>
        </w:rPr>
        <w:t>见附件（具体内容详见</w:t>
      </w:r>
      <w:r>
        <w:rPr>
          <w:rFonts w:hint="eastAsia" w:ascii="仿宋" w:hAnsi="仿宋" w:eastAsia="仿宋" w:cs="仿宋"/>
          <w:sz w:val="24"/>
          <w:szCs w:val="24"/>
          <w:lang w:val="en-US" w:eastAsia="zh-CN"/>
        </w:rPr>
        <w:t>采购</w:t>
      </w:r>
      <w:r>
        <w:rPr>
          <w:rFonts w:hint="eastAsia" w:ascii="仿宋" w:hAnsi="仿宋" w:eastAsia="仿宋" w:cs="仿宋"/>
          <w:sz w:val="24"/>
          <w:szCs w:val="24"/>
        </w:rPr>
        <w:t>公告附件）</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 xml:space="preserve">2.3 </w:t>
      </w:r>
      <w:r>
        <w:rPr>
          <w:rFonts w:hint="eastAsia" w:ascii="仿宋" w:hAnsi="仿宋" w:eastAsia="仿宋" w:cs="仿宋"/>
          <w:color w:val="000000"/>
          <w:sz w:val="24"/>
          <w:szCs w:val="24"/>
          <w:lang w:val="en-US" w:eastAsia="zh-CN"/>
        </w:rPr>
        <w:t>标段划分：本项目划分为7个标段，详见采购明细表</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2.4</w:t>
      </w:r>
      <w:r>
        <w:rPr>
          <w:rFonts w:hint="eastAsia" w:ascii="仿宋" w:hAnsi="仿宋" w:eastAsia="仿宋" w:cs="仿宋"/>
          <w:color w:val="000000"/>
          <w:sz w:val="24"/>
          <w:szCs w:val="24"/>
        </w:rPr>
        <w:t>资金来源：自有资金</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交货时间</w:t>
      </w:r>
      <w:r>
        <w:rPr>
          <w:rFonts w:hint="eastAsia" w:ascii="仿宋" w:hAnsi="仿宋" w:eastAsia="仿宋" w:cs="仿宋"/>
          <w:color w:val="000000"/>
          <w:sz w:val="24"/>
          <w:szCs w:val="24"/>
        </w:rPr>
        <w:t>：2023年12月15日</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2.6</w:t>
      </w:r>
      <w:r>
        <w:rPr>
          <w:rFonts w:hint="eastAsia" w:ascii="仿宋" w:hAnsi="仿宋" w:eastAsia="仿宋" w:cs="仿宋"/>
          <w:color w:val="000000"/>
          <w:sz w:val="24"/>
          <w:szCs w:val="24"/>
          <w:lang w:val="en-US" w:eastAsia="zh-CN"/>
        </w:rPr>
        <w:t>交货</w:t>
      </w:r>
      <w:r>
        <w:rPr>
          <w:rFonts w:hint="eastAsia" w:ascii="仿宋" w:hAnsi="仿宋" w:eastAsia="仿宋" w:cs="仿宋"/>
          <w:color w:val="000000"/>
          <w:sz w:val="24"/>
          <w:szCs w:val="24"/>
        </w:rPr>
        <w:t>地点：施工现场地面交货</w:t>
      </w:r>
    </w:p>
    <w:p>
      <w:pPr>
        <w:pStyle w:val="3"/>
        <w:spacing w:after="0" w:line="520" w:lineRule="exact"/>
        <w:ind w:left="-5" w:right="-198" w:rightChars="-90"/>
        <w:rPr>
          <w:rFonts w:hint="eastAsia" w:ascii="仿宋" w:hAnsi="仿宋" w:eastAsia="仿宋" w:cs="仿宋"/>
          <w:b/>
          <w:sz w:val="24"/>
          <w:szCs w:val="24"/>
        </w:rPr>
      </w:pPr>
      <w:bookmarkStart w:id="4" w:name="_Toc529"/>
      <w:bookmarkStart w:id="5" w:name="_Toc495644244"/>
      <w:r>
        <w:rPr>
          <w:rFonts w:hint="eastAsia" w:ascii="仿宋" w:hAnsi="仿宋" w:eastAsia="仿宋" w:cs="仿宋"/>
          <w:b/>
          <w:sz w:val="24"/>
          <w:szCs w:val="24"/>
        </w:rPr>
        <w:t xml:space="preserve">3. </w:t>
      </w:r>
      <w:r>
        <w:rPr>
          <w:rFonts w:hint="eastAsia" w:ascii="仿宋" w:hAnsi="仿宋" w:eastAsia="仿宋" w:cs="仿宋"/>
          <w:b/>
          <w:sz w:val="24"/>
          <w:szCs w:val="24"/>
          <w:lang w:eastAsia="zh-CN"/>
        </w:rPr>
        <w:t>供应商</w:t>
      </w:r>
      <w:r>
        <w:rPr>
          <w:rFonts w:hint="eastAsia" w:ascii="仿宋" w:hAnsi="仿宋" w:eastAsia="仿宋" w:cs="仿宋"/>
          <w:b/>
          <w:sz w:val="24"/>
          <w:szCs w:val="24"/>
        </w:rPr>
        <w:t>资格要求</w:t>
      </w:r>
      <w:bookmarkEnd w:id="4"/>
      <w:bookmarkEnd w:id="5"/>
      <w:r>
        <w:rPr>
          <w:rFonts w:hint="eastAsia" w:ascii="仿宋" w:hAnsi="仿宋" w:eastAsia="仿宋" w:cs="仿宋"/>
          <w:b/>
          <w:sz w:val="24"/>
          <w:szCs w:val="24"/>
        </w:rPr>
        <w:t xml:space="preserve"> </w:t>
      </w:r>
    </w:p>
    <w:p>
      <w:pPr>
        <w:pStyle w:val="8"/>
        <w:shd w:val="clear" w:color="auto" w:fill="FFFFFF"/>
        <w:spacing w:before="0" w:beforeAutospacing="0" w:after="0" w:afterAutospacing="0" w:line="520" w:lineRule="exact"/>
        <w:ind w:right="-198" w:rightChars="-90" w:firstLine="424" w:firstLineChars="176"/>
        <w:rPr>
          <w:rFonts w:hint="eastAsia" w:ascii="仿宋" w:hAnsi="仿宋" w:eastAsia="仿宋" w:cs="仿宋"/>
          <w:b/>
          <w:kern w:val="2"/>
          <w:szCs w:val="24"/>
        </w:rPr>
      </w:pPr>
      <w:r>
        <w:rPr>
          <w:rFonts w:hint="eastAsia" w:ascii="仿宋" w:hAnsi="仿宋" w:eastAsia="仿宋" w:cs="仿宋"/>
          <w:b/>
          <w:kern w:val="2"/>
          <w:szCs w:val="24"/>
        </w:rPr>
        <w:t>3.1通用资格要求</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3.1.1须为中华人民共和国境内依法注册的企业法人或其他组织,具有有效的营业执照，有良好的财务状况和商业信用，具有一般纳税人资格。企业如有信息变更，需有工商局变更说明；</w:t>
      </w:r>
    </w:p>
    <w:p>
      <w:pPr>
        <w:shd w:val="clear" w:color="auto" w:fill="FFFFFF"/>
        <w:spacing w:line="5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3.1.2</w:t>
      </w:r>
      <w:r>
        <w:rPr>
          <w:rFonts w:hint="eastAsia" w:ascii="仿宋" w:hAnsi="仿宋" w:eastAsia="仿宋" w:cs="仿宋"/>
          <w:sz w:val="24"/>
          <w:szCs w:val="24"/>
          <w:lang w:eastAsia="zh-CN"/>
        </w:rPr>
        <w:t>供应商</w:t>
      </w:r>
      <w:r>
        <w:rPr>
          <w:rFonts w:hint="eastAsia" w:ascii="仿宋" w:hAnsi="仿宋" w:eastAsia="仿宋" w:cs="仿宋"/>
          <w:sz w:val="24"/>
          <w:szCs w:val="24"/>
        </w:rPr>
        <w:t>未被“中国执行信息公开网（http://zxgk.court.gov.cn/shixin/）”列入失信被执行人名单中；</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3.1.3</w:t>
      </w:r>
      <w:r>
        <w:rPr>
          <w:rFonts w:hint="eastAsia" w:ascii="仿宋" w:hAnsi="仿宋" w:eastAsia="仿宋" w:cs="仿宋"/>
          <w:sz w:val="24"/>
          <w:szCs w:val="24"/>
          <w:lang w:eastAsia="zh-CN"/>
        </w:rPr>
        <w:t>供应商</w:t>
      </w:r>
      <w:r>
        <w:rPr>
          <w:rFonts w:hint="eastAsia" w:ascii="仿宋" w:hAnsi="仿宋" w:eastAsia="仿宋" w:cs="仿宋"/>
          <w:sz w:val="24"/>
          <w:szCs w:val="24"/>
          <w:lang w:val="en-US" w:eastAsia="zh-CN"/>
        </w:rPr>
        <w:t>及其法人</w:t>
      </w:r>
      <w:r>
        <w:rPr>
          <w:rFonts w:hint="eastAsia" w:ascii="仿宋" w:hAnsi="仿宋" w:eastAsia="仿宋" w:cs="仿宋"/>
          <w:sz w:val="24"/>
          <w:szCs w:val="24"/>
        </w:rPr>
        <w:t>在中国裁判文书网（http://wenshu.court.gov.cn/）查询显示近一年没有行贿犯罪记录；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3.1.4</w:t>
      </w:r>
      <w:r>
        <w:rPr>
          <w:rFonts w:hint="eastAsia" w:ascii="仿宋" w:hAnsi="仿宋" w:eastAsia="仿宋" w:cs="仿宋"/>
          <w:sz w:val="24"/>
          <w:szCs w:val="24"/>
          <w:lang w:eastAsia="zh-CN"/>
        </w:rPr>
        <w:t>供应商</w:t>
      </w:r>
      <w:r>
        <w:rPr>
          <w:rFonts w:hint="eastAsia" w:ascii="仿宋" w:hAnsi="仿宋" w:eastAsia="仿宋" w:cs="仿宋"/>
          <w:sz w:val="24"/>
          <w:szCs w:val="24"/>
        </w:rPr>
        <w:t>未被工商行政管理机关在全国企业信用信息公示系统（www.gsxt.gov.cn）中列入</w:t>
      </w:r>
      <w:r>
        <w:rPr>
          <w:rFonts w:hint="eastAsia" w:ascii="仿宋" w:hAnsi="仿宋" w:eastAsia="仿宋" w:cs="仿宋"/>
          <w:color w:val="auto"/>
          <w:sz w:val="24"/>
          <w:szCs w:val="24"/>
        </w:rPr>
        <w:t>企业经营异常名录和</w:t>
      </w:r>
      <w:r>
        <w:rPr>
          <w:rFonts w:hint="eastAsia" w:ascii="仿宋" w:hAnsi="仿宋" w:eastAsia="仿宋" w:cs="仿宋"/>
          <w:sz w:val="24"/>
          <w:szCs w:val="24"/>
        </w:rPr>
        <w:t>严重违法失信企业名单；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3.1.5法定代表人为同一个人的两个及两个以上法人，母公司、全资子公司及其控股公司，只能有一家参加投标,且母子关系之间不得相互借用任何资质；</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3.1.6</w:t>
      </w:r>
      <w:r>
        <w:rPr>
          <w:rFonts w:hint="eastAsia" w:ascii="仿宋" w:hAnsi="仿宋" w:eastAsia="仿宋" w:cs="仿宋"/>
          <w:sz w:val="24"/>
          <w:szCs w:val="24"/>
          <w:lang w:eastAsia="zh-CN"/>
        </w:rPr>
        <w:t>在近三年（</w:t>
      </w:r>
      <w:r>
        <w:rPr>
          <w:rFonts w:hint="eastAsia" w:ascii="仿宋" w:hAnsi="仿宋" w:eastAsia="仿宋" w:cs="仿宋"/>
          <w:sz w:val="24"/>
          <w:szCs w:val="24"/>
          <w:lang w:val="en-US"/>
        </w:rPr>
        <w:t>20</w:t>
      </w:r>
      <w:r>
        <w:rPr>
          <w:rFonts w:hint="eastAsia" w:ascii="仿宋" w:hAnsi="仿宋" w:eastAsia="仿宋" w:cs="仿宋"/>
          <w:sz w:val="24"/>
          <w:szCs w:val="24"/>
          <w:lang w:val="en-US" w:eastAsia="zh-CN"/>
        </w:rPr>
        <w:t>20</w:t>
      </w:r>
      <w:r>
        <w:rPr>
          <w:rFonts w:hint="eastAsia" w:ascii="仿宋" w:hAnsi="仿宋" w:eastAsia="仿宋" w:cs="仿宋"/>
          <w:sz w:val="24"/>
          <w:szCs w:val="24"/>
          <w:lang w:eastAsia="zh-CN"/>
        </w:rPr>
        <w:t>年起）内无骗取中标或严重违约或重大质量问题；</w:t>
      </w: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 xml:space="preserve">未被列入最新发布的《内蒙古电力（集团）有限责任公司不良行为供应商名单》和中国电力企业联合会最新公布的“中电联关于公布涉电力领域重点关注对象名单” </w:t>
      </w:r>
    </w:p>
    <w:p>
      <w:pPr>
        <w:spacing w:after="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3.1.7本次</w:t>
      </w:r>
      <w:r>
        <w:rPr>
          <w:rFonts w:hint="eastAsia" w:ascii="仿宋" w:hAnsi="仿宋" w:eastAsia="仿宋" w:cs="仿宋"/>
          <w:sz w:val="24"/>
          <w:szCs w:val="24"/>
          <w:lang w:val="en-US" w:eastAsia="zh-CN"/>
        </w:rPr>
        <w:t>采购</w:t>
      </w:r>
      <w:r>
        <w:rPr>
          <w:rFonts w:hint="eastAsia" w:ascii="仿宋" w:hAnsi="仿宋" w:eastAsia="仿宋" w:cs="仿宋"/>
          <w:sz w:val="24"/>
          <w:szCs w:val="24"/>
          <w:lang w:eastAsia="zh-CN"/>
        </w:rPr>
        <w:t>不接受联合体投标。</w:t>
      </w:r>
    </w:p>
    <w:p>
      <w:pPr>
        <w:pStyle w:val="8"/>
        <w:shd w:val="clear" w:color="auto" w:fill="FFFFFF"/>
        <w:spacing w:before="0" w:beforeAutospacing="0" w:after="0" w:afterAutospacing="0" w:line="520" w:lineRule="exact"/>
        <w:ind w:right="-198" w:rightChars="-90" w:firstLine="426" w:firstLineChars="177"/>
        <w:rPr>
          <w:rFonts w:hint="eastAsia" w:ascii="仿宋" w:hAnsi="仿宋" w:eastAsia="仿宋" w:cs="仿宋"/>
          <w:b/>
          <w:kern w:val="2"/>
          <w:szCs w:val="24"/>
        </w:rPr>
      </w:pPr>
      <w:r>
        <w:rPr>
          <w:rFonts w:hint="eastAsia" w:ascii="仿宋" w:hAnsi="仿宋" w:eastAsia="仿宋" w:cs="仿宋"/>
          <w:b/>
          <w:kern w:val="2"/>
          <w:szCs w:val="24"/>
        </w:rPr>
        <w:t>3.2专用资格要求：</w:t>
      </w:r>
    </w:p>
    <w:p>
      <w:pPr>
        <w:pStyle w:val="8"/>
        <w:shd w:val="clear" w:color="auto" w:fill="FFFFFF"/>
        <w:spacing w:before="0" w:beforeAutospacing="0" w:after="0" w:afterAutospacing="0" w:line="520" w:lineRule="exact"/>
        <w:ind w:right="-198" w:rightChars="-90" w:firstLine="424" w:firstLineChars="177"/>
        <w:rPr>
          <w:rFonts w:hint="eastAsia" w:ascii="仿宋" w:hAnsi="仿宋" w:eastAsia="仿宋" w:cs="仿宋"/>
          <w:bCs/>
          <w:color w:val="auto"/>
          <w:kern w:val="2"/>
          <w:szCs w:val="24"/>
        </w:rPr>
      </w:pPr>
      <w:r>
        <w:rPr>
          <w:rFonts w:hint="eastAsia" w:ascii="仿宋" w:hAnsi="仿宋" w:eastAsia="仿宋" w:cs="仿宋"/>
          <w:bCs/>
          <w:color w:val="auto"/>
          <w:kern w:val="2"/>
          <w:szCs w:val="24"/>
        </w:rPr>
        <w:t>详见</w:t>
      </w:r>
      <w:r>
        <w:rPr>
          <w:rFonts w:hint="eastAsia" w:ascii="仿宋" w:hAnsi="仿宋" w:eastAsia="仿宋" w:cs="仿宋"/>
          <w:bCs/>
          <w:color w:val="auto"/>
          <w:kern w:val="2"/>
          <w:szCs w:val="24"/>
          <w:lang w:val="en-US" w:eastAsia="zh-CN"/>
        </w:rPr>
        <w:t>采购</w:t>
      </w:r>
      <w:r>
        <w:rPr>
          <w:rFonts w:hint="eastAsia" w:ascii="仿宋" w:hAnsi="仿宋" w:eastAsia="仿宋" w:cs="仿宋"/>
          <w:bCs/>
          <w:color w:val="auto"/>
          <w:kern w:val="2"/>
          <w:szCs w:val="24"/>
        </w:rPr>
        <w:t>公告附件</w:t>
      </w:r>
    </w:p>
    <w:p>
      <w:pPr>
        <w:pStyle w:val="8"/>
        <w:shd w:val="clear" w:color="auto" w:fill="FFFFFF"/>
        <w:spacing w:before="0" w:beforeAutospacing="0" w:after="0" w:afterAutospacing="0" w:line="520" w:lineRule="exact"/>
        <w:ind w:right="-198" w:rightChars="-90"/>
        <w:rPr>
          <w:rFonts w:hint="eastAsia" w:ascii="仿宋" w:hAnsi="仿宋" w:eastAsia="仿宋" w:cs="仿宋"/>
          <w:b/>
          <w:kern w:val="2"/>
          <w:szCs w:val="24"/>
        </w:rPr>
      </w:pPr>
      <w:r>
        <w:rPr>
          <w:rFonts w:hint="eastAsia" w:ascii="仿宋" w:hAnsi="仿宋" w:eastAsia="仿宋" w:cs="仿宋"/>
          <w:b/>
          <w:kern w:val="2"/>
          <w:szCs w:val="24"/>
        </w:rPr>
        <w:t>4.</w:t>
      </w:r>
      <w:r>
        <w:rPr>
          <w:rFonts w:hint="eastAsia" w:ascii="仿宋" w:hAnsi="仿宋" w:eastAsia="仿宋" w:cs="仿宋"/>
          <w:b/>
          <w:kern w:val="2"/>
          <w:szCs w:val="24"/>
          <w:lang w:eastAsia="zh-CN"/>
        </w:rPr>
        <w:t>采购文件</w:t>
      </w:r>
      <w:r>
        <w:rPr>
          <w:rFonts w:hint="eastAsia" w:ascii="仿宋" w:hAnsi="仿宋" w:eastAsia="仿宋" w:cs="仿宋"/>
          <w:b/>
          <w:kern w:val="2"/>
          <w:szCs w:val="24"/>
        </w:rPr>
        <w:t>的获取</w:t>
      </w:r>
    </w:p>
    <w:p>
      <w:pPr>
        <w:spacing w:line="520" w:lineRule="exact"/>
        <w:ind w:right="-57" w:rightChars="-26" w:firstLine="480" w:firstLineChars="200"/>
        <w:rPr>
          <w:rFonts w:hint="eastAsia" w:ascii="仿宋" w:hAnsi="仿宋" w:eastAsia="仿宋" w:cs="仿宋"/>
          <w:sz w:val="24"/>
          <w:szCs w:val="24"/>
        </w:rPr>
      </w:pPr>
      <w:bookmarkStart w:id="6" w:name="_Toc495644245"/>
      <w:r>
        <w:rPr>
          <w:rFonts w:hint="eastAsia" w:ascii="仿宋" w:hAnsi="仿宋" w:eastAsia="仿宋" w:cs="仿宋"/>
          <w:sz w:val="24"/>
          <w:szCs w:val="24"/>
        </w:rPr>
        <w:t>凡第一次参与内蒙古电力公司的各类招标采购项目的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，在投标报名前需要在内蒙古电力物资管理信息系统--“内蒙古电力（集团）有限责任公司电子商务平台（http://wzglb.impc.com.cn:82）”，先进行</w:t>
      </w:r>
      <w:r>
        <w:rPr>
          <w:rFonts w:hint="eastAsia" w:ascii="仿宋" w:hAnsi="仿宋" w:eastAsia="仿宋" w:cs="仿宋"/>
          <w:sz w:val="24"/>
          <w:szCs w:val="24"/>
          <w:lang w:val="en-US" w:eastAsia="zh-CN"/>
        </w:rPr>
        <w:t>供应商</w:t>
      </w:r>
      <w:r>
        <w:rPr>
          <w:rFonts w:hint="eastAsia" w:ascii="仿宋" w:hAnsi="仿宋" w:eastAsia="仿宋" w:cs="仿宋"/>
          <w:sz w:val="24"/>
          <w:szCs w:val="24"/>
        </w:rPr>
        <w:t>基本信息注册，然后在招标采购项目挂网公告所在的电子采购交易平台（内蒙古电力集团电子采购系统）办理中招互连扫码签章，前述工作完成后方可开始投标报名。</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4.1本项目实行在线报名、线上下载</w:t>
      </w:r>
      <w:r>
        <w:rPr>
          <w:rFonts w:hint="eastAsia" w:ascii="仿宋" w:hAnsi="仿宋" w:eastAsia="仿宋" w:cs="仿宋"/>
          <w:sz w:val="24"/>
          <w:szCs w:val="24"/>
          <w:lang w:val="en-US" w:eastAsia="zh-CN"/>
        </w:rPr>
        <w:t>采购</w:t>
      </w:r>
      <w:r>
        <w:rPr>
          <w:rFonts w:hint="eastAsia" w:ascii="仿宋" w:hAnsi="仿宋" w:eastAsia="仿宋" w:cs="仿宋"/>
          <w:sz w:val="24"/>
          <w:szCs w:val="24"/>
        </w:rPr>
        <w:t>文件，</w:t>
      </w:r>
      <w:r>
        <w:rPr>
          <w:rFonts w:hint="eastAsia" w:ascii="仿宋" w:hAnsi="仿宋" w:eastAsia="仿宋" w:cs="仿宋"/>
          <w:sz w:val="24"/>
          <w:szCs w:val="24"/>
          <w:lang w:val="en-US" w:eastAsia="zh-CN"/>
        </w:rPr>
        <w:t>采购</w:t>
      </w:r>
      <w:r>
        <w:rPr>
          <w:rFonts w:hint="eastAsia" w:ascii="仿宋" w:hAnsi="仿宋" w:eastAsia="仿宋" w:cs="仿宋"/>
          <w:sz w:val="24"/>
          <w:szCs w:val="24"/>
        </w:rPr>
        <w:t>文件不收取费用。</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凡有意参加</w:t>
      </w:r>
      <w:r>
        <w:rPr>
          <w:rFonts w:hint="eastAsia" w:ascii="仿宋" w:hAnsi="仿宋" w:eastAsia="仿宋" w:cs="仿宋"/>
          <w:sz w:val="24"/>
          <w:szCs w:val="24"/>
          <w:lang w:val="en-US" w:eastAsia="zh-CN"/>
        </w:rPr>
        <w:t>供应商</w:t>
      </w:r>
      <w:r>
        <w:rPr>
          <w:rFonts w:hint="eastAsia" w:ascii="仿宋" w:hAnsi="仿宋" w:eastAsia="仿宋" w:cs="仿宋"/>
          <w:sz w:val="24"/>
          <w:szCs w:val="24"/>
        </w:rPr>
        <w:t>，请于2023年10月1</w:t>
      </w:r>
      <w:r>
        <w:rPr>
          <w:rFonts w:hint="eastAsia" w:ascii="仿宋" w:hAnsi="仿宋" w:eastAsia="仿宋" w:cs="仿宋"/>
          <w:sz w:val="24"/>
          <w:szCs w:val="24"/>
          <w:lang w:val="en-US" w:eastAsia="zh-CN"/>
        </w:rPr>
        <w:t>7</w:t>
      </w:r>
      <w:bookmarkStart w:id="15" w:name="_GoBack"/>
      <w:bookmarkEnd w:id="15"/>
      <w:r>
        <w:rPr>
          <w:rFonts w:hint="eastAsia" w:ascii="仿宋" w:hAnsi="仿宋" w:eastAsia="仿宋" w:cs="仿宋"/>
          <w:sz w:val="24"/>
          <w:szCs w:val="24"/>
        </w:rPr>
        <w:t>日至2023年10月2</w:t>
      </w:r>
      <w:r>
        <w:rPr>
          <w:rFonts w:hint="eastAsia" w:ascii="仿宋" w:hAnsi="仿宋" w:eastAsia="仿宋" w:cs="仿宋"/>
          <w:sz w:val="24"/>
          <w:szCs w:val="24"/>
          <w:lang w:val="en-US" w:eastAsia="zh-CN"/>
        </w:rPr>
        <w:t>3</w:t>
      </w:r>
      <w:r>
        <w:rPr>
          <w:rFonts w:hint="eastAsia" w:ascii="仿宋" w:hAnsi="仿宋" w:eastAsia="仿宋" w:cs="仿宋"/>
          <w:sz w:val="24"/>
          <w:szCs w:val="24"/>
        </w:rPr>
        <w:t>日17:00，进入《内蒙古电力集团电子采购系统》（http://guocai-impc.cppchina.cn/）在线报名 ，逾期不予受理。获取</w:t>
      </w:r>
      <w:r>
        <w:rPr>
          <w:rFonts w:hint="eastAsia" w:ascii="仿宋" w:hAnsi="仿宋" w:eastAsia="仿宋" w:cs="仿宋"/>
          <w:sz w:val="24"/>
          <w:szCs w:val="24"/>
          <w:lang w:val="en-US" w:eastAsia="zh-CN"/>
        </w:rPr>
        <w:t>采购</w:t>
      </w:r>
      <w:r>
        <w:rPr>
          <w:rFonts w:hint="eastAsia" w:ascii="仿宋" w:hAnsi="仿宋" w:eastAsia="仿宋" w:cs="仿宋"/>
          <w:sz w:val="24"/>
          <w:szCs w:val="24"/>
        </w:rPr>
        <w:t>文件截止时间同投标截止时间。</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（1）具体流程为：登录平台→在报名管理界面查看最新招标项目→</w:t>
      </w:r>
      <w:r>
        <w:rPr>
          <w:rFonts w:hint="eastAsia" w:ascii="仿宋" w:hAnsi="仿宋" w:eastAsia="仿宋" w:cs="仿宋"/>
          <w:sz w:val="24"/>
          <w:szCs w:val="24"/>
          <w:lang w:val="en-US" w:eastAsia="zh-CN"/>
        </w:rPr>
        <w:t>供应商</w:t>
      </w:r>
      <w:r>
        <w:rPr>
          <w:rFonts w:hint="eastAsia" w:ascii="仿宋" w:hAnsi="仿宋" w:eastAsia="仿宋" w:cs="仿宋"/>
          <w:sz w:val="24"/>
          <w:szCs w:val="24"/>
        </w:rPr>
        <w:t>提交报名资料，通过资格查验的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报名后通过“文件下载”界面下载采购文件，平台联系电话：400-9913-966支持及在线客服支持。</w:t>
      </w:r>
    </w:p>
    <w:p>
      <w:pPr>
        <w:spacing w:after="0" w:line="520" w:lineRule="exact"/>
        <w:ind w:right="-53" w:rightChars="-24" w:firstLine="424" w:firstLineChars="177"/>
        <w:rPr>
          <w:rFonts w:hint="eastAsia" w:ascii="仿宋" w:hAnsi="仿宋" w:eastAsia="仿宋" w:cs="仿宋"/>
          <w:color w:val="auto"/>
          <w:sz w:val="24"/>
          <w:szCs w:val="24"/>
        </w:rPr>
      </w:pPr>
      <w:r>
        <w:rPr>
          <w:rFonts w:hint="eastAsia" w:ascii="仿宋" w:hAnsi="仿宋" w:eastAsia="仿宋" w:cs="仿宋"/>
          <w:bCs/>
          <w:sz w:val="24"/>
          <w:szCs w:val="24"/>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注：1、之前使用实体CA的企业可以继续使用，CA证书到期后在进行注册【中招互连】APP。</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2、目前处于CA、扫码交替阶段，</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需要注意以下事项：</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（1）避免使用CA加密，而使用扫码解密。反之同理。</w:t>
      </w:r>
    </w:p>
    <w:p>
      <w:pPr>
        <w:spacing w:after="0" w:line="520" w:lineRule="exact"/>
        <w:ind w:firstLine="424" w:firstLineChars="177"/>
        <w:jc w:val="both"/>
        <w:rPr>
          <w:rFonts w:hint="eastAsia" w:ascii="仿宋" w:hAnsi="仿宋" w:eastAsia="仿宋" w:cs="仿宋"/>
          <w:bCs/>
          <w:sz w:val="24"/>
          <w:szCs w:val="24"/>
        </w:rPr>
      </w:pPr>
      <w:r>
        <w:rPr>
          <w:rFonts w:hint="eastAsia" w:ascii="仿宋" w:hAnsi="仿宋" w:eastAsia="仿宋" w:cs="仿宋"/>
          <w:color w:val="auto"/>
          <w:sz w:val="24"/>
          <w:szCs w:val="24"/>
        </w:rPr>
        <w:t>（2）扫码登录，扫码签章，扫码加密，扫码解密，登录APP的手机号必须保持一致。</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bCs/>
          <w:szCs w:val="24"/>
        </w:rPr>
      </w:pPr>
      <w:r>
        <w:rPr>
          <w:rFonts w:hint="eastAsia" w:ascii="仿宋" w:hAnsi="仿宋" w:eastAsia="仿宋" w:cs="仿宋"/>
          <w:b/>
          <w:bCs/>
          <w:szCs w:val="24"/>
        </w:rPr>
        <w:t>4.2投标报名资料</w:t>
      </w:r>
    </w:p>
    <w:bookmarkEnd w:id="6"/>
    <w:p>
      <w:pPr>
        <w:pStyle w:val="8"/>
        <w:shd w:val="clear" w:color="auto" w:fill="FFFFFF"/>
        <w:spacing w:before="0" w:beforeAutospacing="0" w:after="0" w:afterAutospacing="0" w:line="520" w:lineRule="exact"/>
        <w:ind w:left="-142" w:right="-198" w:rightChars="-90" w:firstLine="600" w:firstLineChars="250"/>
        <w:rPr>
          <w:rFonts w:hint="eastAsia" w:ascii="仿宋" w:hAnsi="仿宋" w:eastAsia="仿宋" w:cs="仿宋"/>
          <w:color w:val="auto"/>
          <w:kern w:val="2"/>
          <w:szCs w:val="24"/>
        </w:rPr>
      </w:pPr>
      <w:r>
        <w:rPr>
          <w:rFonts w:hint="eastAsia" w:ascii="仿宋" w:hAnsi="仿宋" w:eastAsia="仿宋" w:cs="仿宋"/>
          <w:color w:val="auto"/>
          <w:kern w:val="2"/>
          <w:szCs w:val="24"/>
        </w:rPr>
        <w:t>符合</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资格要求的潜在</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w:t>
      </w:r>
      <w:r>
        <w:rPr>
          <w:rFonts w:hint="eastAsia" w:ascii="仿宋" w:hAnsi="仿宋" w:eastAsia="仿宋" w:cs="仿宋"/>
          <w:color w:val="auto"/>
          <w:kern w:val="2"/>
          <w:szCs w:val="24"/>
          <w:lang w:eastAsia="zh-CN"/>
        </w:rPr>
        <w:t>采购人</w:t>
      </w:r>
      <w:r>
        <w:rPr>
          <w:rFonts w:hint="eastAsia" w:ascii="仿宋" w:hAnsi="仿宋" w:eastAsia="仿宋" w:cs="仿宋"/>
          <w:color w:val="auto"/>
          <w:kern w:val="2"/>
          <w:szCs w:val="24"/>
        </w:rPr>
        <w:t>有权拒绝），具体如下：</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（1）报名表（详见附件</w:t>
      </w:r>
      <w:r>
        <w:rPr>
          <w:rFonts w:hint="eastAsia" w:ascii="仿宋" w:hAnsi="仿宋" w:eastAsia="仿宋" w:cs="仿宋"/>
          <w:color w:val="auto"/>
          <w:szCs w:val="24"/>
          <w:lang w:val="en-US" w:eastAsia="zh-CN"/>
        </w:rPr>
        <w:t>3</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（2）法定代表人授权委托书(被授权人必须为该项目负责人，并本人办理相关事宜，授权书中必须明确</w:t>
      </w:r>
      <w:r>
        <w:rPr>
          <w:rFonts w:hint="eastAsia" w:ascii="仿宋" w:hAnsi="仿宋" w:eastAsia="仿宋" w:cs="仿宋"/>
          <w:color w:val="auto"/>
          <w:szCs w:val="24"/>
          <w:lang w:eastAsia="zh-CN"/>
        </w:rPr>
        <w:t>采购项目</w:t>
      </w:r>
      <w:r>
        <w:rPr>
          <w:rFonts w:hint="eastAsia" w:ascii="仿宋" w:hAnsi="仿宋" w:eastAsia="仿宋" w:cs="仿宋"/>
          <w:color w:val="auto"/>
          <w:szCs w:val="24"/>
        </w:rPr>
        <w:t>名称、招标/标段编号及联系方式；详见附件</w:t>
      </w:r>
      <w:r>
        <w:rPr>
          <w:rFonts w:hint="eastAsia" w:ascii="仿宋" w:hAnsi="仿宋" w:eastAsia="仿宋" w:cs="仿宋"/>
          <w:color w:val="auto"/>
          <w:szCs w:val="24"/>
          <w:lang w:val="en-US" w:eastAsia="zh-CN"/>
        </w:rPr>
        <w:t>4</w:t>
      </w:r>
      <w:r>
        <w:rPr>
          <w:rFonts w:hint="eastAsia" w:ascii="仿宋" w:hAnsi="仿宋" w:eastAsia="仿宋" w:cs="仿宋"/>
          <w:color w:val="auto"/>
          <w:szCs w:val="24"/>
        </w:rPr>
        <w:t xml:space="preserve">）；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（3）统一社会信用代码证（企业营业执照）</w:t>
      </w:r>
      <w:r>
        <w:rPr>
          <w:rFonts w:hint="eastAsia" w:ascii="仿宋" w:hAnsi="仿宋" w:eastAsia="仿宋" w:cs="仿宋"/>
          <w:color w:val="auto"/>
          <w:szCs w:val="24"/>
          <w:lang w:eastAsia="zh-CN"/>
        </w:rPr>
        <w:t>，企业名称如有变更，需提供有关行政机关提供的变更证明</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（4）提供一般纳税人相关证明材料（提供一般纳税人登记表或税务局相关网站查询截图）；</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（5）“全国企业信用信息公示系统（</w:t>
      </w:r>
      <w:r>
        <w:rPr>
          <w:rFonts w:hint="eastAsia" w:ascii="仿宋" w:hAnsi="仿宋" w:eastAsia="仿宋" w:cs="仿宋"/>
        </w:rPr>
        <w:fldChar w:fldCharType="begin"/>
      </w:r>
      <w:r>
        <w:rPr>
          <w:rFonts w:hint="eastAsia" w:ascii="仿宋" w:hAnsi="仿宋" w:eastAsia="仿宋" w:cs="仿宋"/>
        </w:rPr>
        <w:instrText xml:space="preserve"> HYPERLINK "http://www.gsxt.gov.cn）" </w:instrText>
      </w:r>
      <w:r>
        <w:rPr>
          <w:rFonts w:hint="eastAsia" w:ascii="仿宋" w:hAnsi="仿宋" w:eastAsia="仿宋" w:cs="仿宋"/>
        </w:rPr>
        <w:fldChar w:fldCharType="separate"/>
      </w:r>
      <w:r>
        <w:rPr>
          <w:rFonts w:hint="eastAsia" w:ascii="仿宋" w:hAnsi="仿宋" w:eastAsia="仿宋" w:cs="仿宋"/>
          <w:color w:val="auto"/>
          <w:szCs w:val="24"/>
        </w:rPr>
        <w:t>www.gsxt.gov.cn）”中未被列入经营异</w:t>
      </w:r>
      <w:r>
        <w:rPr>
          <w:rFonts w:hint="eastAsia" w:ascii="仿宋" w:hAnsi="仿宋" w:eastAsia="仿宋" w:cs="仿宋"/>
          <w:color w:val="auto"/>
          <w:szCs w:val="24"/>
        </w:rPr>
        <w:fldChar w:fldCharType="end"/>
      </w:r>
      <w:r>
        <w:rPr>
          <w:rFonts w:hint="eastAsia" w:ascii="仿宋" w:hAnsi="仿宋" w:eastAsia="仿宋" w:cs="仿宋"/>
          <w:color w:val="auto"/>
          <w:szCs w:val="24"/>
        </w:rPr>
        <w:t>常名录及严重违法失信企业名单的查询结果证明；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（6）“中国执行信息公开网（http://zxgk.court.gov.cn/shixin/）”查询显示未被列入失信被执行人名单的查询结果证明（企业名称如有变更，历史名称也需要提供查询结果证明）；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（7）“中国裁判文书网（http://www.wenshu.court.gov.cn）”查询显示近一年内</w:t>
      </w:r>
      <w:r>
        <w:rPr>
          <w:rFonts w:hint="eastAsia" w:ascii="仿宋" w:hAnsi="仿宋" w:eastAsia="仿宋" w:cs="仿宋"/>
          <w:color w:val="auto"/>
          <w:szCs w:val="24"/>
          <w:lang w:eastAsia="zh-CN"/>
        </w:rPr>
        <w:t>供应商</w:t>
      </w:r>
      <w:r>
        <w:rPr>
          <w:rFonts w:hint="eastAsia" w:ascii="仿宋" w:hAnsi="仿宋" w:eastAsia="仿宋" w:cs="仿宋"/>
          <w:color w:val="auto"/>
          <w:szCs w:val="24"/>
        </w:rPr>
        <w:t xml:space="preserve">和其法定代表人无行贿犯罪行为记录的查询结果证明（企业名称如有变更，历史名称也需要提供查询结果证明）；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（8）</w:t>
      </w:r>
      <w:r>
        <w:rPr>
          <w:rFonts w:hint="eastAsia" w:ascii="仿宋" w:hAnsi="仿宋" w:eastAsia="仿宋" w:cs="仿宋"/>
          <w:color w:val="auto"/>
          <w:szCs w:val="24"/>
          <w:lang w:eastAsia="zh-CN"/>
        </w:rPr>
        <w:t>供应商</w:t>
      </w:r>
      <w:r>
        <w:rPr>
          <w:rFonts w:hint="eastAsia" w:ascii="仿宋" w:hAnsi="仿宋" w:eastAsia="仿宋" w:cs="仿宋"/>
          <w:color w:val="auto"/>
          <w:szCs w:val="24"/>
        </w:rPr>
        <w:t>“专用资格要求”的相应证明材料</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提供《投标真实性承诺书》，详见附件</w:t>
      </w:r>
      <w:r>
        <w:rPr>
          <w:rFonts w:hint="eastAsia" w:ascii="仿宋" w:hAnsi="仿宋" w:eastAsia="仿宋" w:cs="仿宋"/>
          <w:color w:val="auto"/>
          <w:szCs w:val="24"/>
          <w:lang w:val="en-US" w:eastAsia="zh-CN"/>
        </w:rPr>
        <w:t>5</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lang w:val="en-US" w:eastAsia="zh-CN"/>
        </w:rPr>
        <w:t>供应商承诺书，详见附件6</w:t>
      </w:r>
      <w:r>
        <w:rPr>
          <w:rFonts w:hint="eastAsia" w:ascii="仿宋" w:hAnsi="仿宋" w:eastAsia="仿宋" w:cs="仿宋"/>
          <w:color w:val="auto"/>
          <w:szCs w:val="24"/>
        </w:rPr>
        <w:t xml:space="preserve">。 </w:t>
      </w:r>
      <w:r>
        <w:rPr>
          <w:rFonts w:hint="eastAsia" w:ascii="仿宋" w:hAnsi="仿宋" w:eastAsia="仿宋" w:cs="仿宋"/>
          <w:b/>
          <w:color w:val="auto"/>
          <w:szCs w:val="24"/>
        </w:rPr>
        <w:t xml:space="preserve"> </w:t>
      </w:r>
      <w:r>
        <w:rPr>
          <w:rFonts w:hint="eastAsia" w:ascii="仿宋" w:hAnsi="仿宋" w:eastAsia="仿宋" w:cs="仿宋"/>
          <w:b/>
          <w:szCs w:val="24"/>
        </w:rPr>
        <w:t xml:space="preserve">                                                                                                                                                                                                                                                                                                                                                                     </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eastAsia="zh-CN"/>
        </w:rPr>
        <w:t>采购人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2"/>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共有2次提交报名资料的机会。</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eastAsia="zh-CN"/>
        </w:rPr>
        <w:t>采购人</w:t>
      </w:r>
      <w:r>
        <w:rPr>
          <w:rFonts w:hint="eastAsia" w:ascii="仿宋" w:hAnsi="仿宋" w:eastAsia="仿宋" w:cs="仿宋"/>
          <w:b/>
          <w:kern w:val="0"/>
          <w:sz w:val="24"/>
          <w:szCs w:val="24"/>
        </w:rPr>
        <w:t>有权拒绝。</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kern w:val="0"/>
          <w:sz w:val="24"/>
          <w:szCs w:val="24"/>
          <w:lang w:val="en-US" w:eastAsia="zh-CN"/>
        </w:rPr>
        <w:t>供应商</w:t>
      </w:r>
      <w:r>
        <w:rPr>
          <w:rFonts w:hint="eastAsia" w:ascii="仿宋" w:hAnsi="仿宋" w:eastAsia="仿宋" w:cs="仿宋"/>
          <w:b/>
          <w:kern w:val="0"/>
          <w:sz w:val="24"/>
          <w:szCs w:val="24"/>
        </w:rPr>
        <w:t>资质等资格要求进行严格的真实性核查；经核实存在资格证明材料造假或信息不实的，</w:t>
      </w:r>
      <w:r>
        <w:rPr>
          <w:rFonts w:hint="eastAsia" w:ascii="仿宋" w:hAnsi="仿宋" w:eastAsia="仿宋" w:cs="仿宋"/>
          <w:b/>
          <w:kern w:val="0"/>
          <w:sz w:val="24"/>
          <w:szCs w:val="24"/>
          <w:lang w:val="en-US" w:eastAsia="zh-CN"/>
        </w:rPr>
        <w:t>采购</w:t>
      </w:r>
      <w:r>
        <w:rPr>
          <w:rFonts w:hint="eastAsia" w:ascii="仿宋" w:hAnsi="仿宋" w:eastAsia="仿宋" w:cs="仿宋"/>
          <w:b/>
          <w:kern w:val="0"/>
          <w:sz w:val="24"/>
          <w:szCs w:val="24"/>
        </w:rPr>
        <w:t>人将按照公司《物资供应商不良行为管理办法》的规定进行处罚。</w:t>
      </w:r>
    </w:p>
    <w:p>
      <w:pPr>
        <w:pStyle w:val="3"/>
        <w:spacing w:after="0" w:line="520" w:lineRule="exact"/>
        <w:ind w:left="-5" w:right="-198" w:rightChars="-90"/>
        <w:rPr>
          <w:rFonts w:hint="eastAsia" w:ascii="仿宋" w:hAnsi="仿宋" w:eastAsia="仿宋" w:cs="仿宋"/>
          <w:sz w:val="24"/>
          <w:szCs w:val="24"/>
        </w:rPr>
      </w:pPr>
      <w:bookmarkStart w:id="7" w:name="_Toc495645074"/>
      <w:bookmarkStart w:id="8" w:name="_Toc11424"/>
      <w:r>
        <w:rPr>
          <w:rFonts w:hint="eastAsia" w:ascii="仿宋" w:hAnsi="仿宋" w:eastAsia="仿宋" w:cs="仿宋"/>
          <w:b/>
          <w:sz w:val="24"/>
          <w:szCs w:val="24"/>
        </w:rPr>
        <w:t xml:space="preserve">5. </w:t>
      </w:r>
      <w:r>
        <w:rPr>
          <w:rFonts w:hint="eastAsia" w:ascii="仿宋" w:hAnsi="仿宋" w:eastAsia="仿宋" w:cs="仿宋"/>
          <w:b/>
          <w:sz w:val="24"/>
          <w:szCs w:val="24"/>
          <w:lang w:eastAsia="zh-CN"/>
        </w:rPr>
        <w:t>响应文件</w:t>
      </w:r>
      <w:r>
        <w:rPr>
          <w:rFonts w:hint="eastAsia" w:ascii="仿宋" w:hAnsi="仿宋" w:eastAsia="仿宋" w:cs="仿宋"/>
          <w:b/>
          <w:sz w:val="24"/>
          <w:szCs w:val="24"/>
        </w:rPr>
        <w:t>的递交</w:t>
      </w:r>
      <w:bookmarkEnd w:id="7"/>
      <w:bookmarkEnd w:id="8"/>
      <w:r>
        <w:rPr>
          <w:rFonts w:hint="eastAsia" w:ascii="仿宋" w:hAnsi="仿宋" w:eastAsia="仿宋" w:cs="仿宋"/>
          <w:b/>
          <w:sz w:val="24"/>
          <w:szCs w:val="24"/>
        </w:rPr>
        <w:t xml:space="preserve"> </w:t>
      </w:r>
    </w:p>
    <w:p>
      <w:pPr>
        <w:spacing w:after="0" w:line="520" w:lineRule="exact"/>
        <w:ind w:right="-198" w:rightChars="-90" w:firstLine="480" w:firstLineChars="200"/>
        <w:rPr>
          <w:rFonts w:hint="eastAsia" w:ascii="仿宋" w:hAnsi="仿宋" w:eastAsia="仿宋" w:cs="仿宋"/>
          <w:sz w:val="24"/>
          <w:szCs w:val="24"/>
        </w:rPr>
      </w:pPr>
      <w:bookmarkStart w:id="9" w:name="_Toc21201"/>
      <w:r>
        <w:rPr>
          <w:rFonts w:hint="eastAsia" w:ascii="仿宋" w:hAnsi="仿宋" w:eastAsia="仿宋" w:cs="仿宋"/>
          <w:sz w:val="24"/>
          <w:szCs w:val="24"/>
        </w:rPr>
        <w:t>5.1本项目属于电子标，</w:t>
      </w:r>
      <w:r>
        <w:rPr>
          <w:rFonts w:hint="eastAsia" w:ascii="仿宋" w:hAnsi="仿宋" w:eastAsia="仿宋" w:cs="仿宋"/>
          <w:sz w:val="24"/>
          <w:szCs w:val="24"/>
          <w:lang w:val="en-US" w:eastAsia="zh-CN"/>
        </w:rPr>
        <w:t>响应</w:t>
      </w:r>
      <w:r>
        <w:rPr>
          <w:rFonts w:hint="eastAsia" w:ascii="仿宋" w:hAnsi="仿宋" w:eastAsia="仿宋" w:cs="仿宋"/>
          <w:sz w:val="24"/>
          <w:szCs w:val="24"/>
        </w:rPr>
        <w:t>文件采用网上递交方式，电子</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文件请于投标截止时间之前上传到“内蒙古电力集团电子采购系统”，投标截止时间后上传的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文件恕不接收。</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5.2</w:t>
      </w:r>
      <w:r>
        <w:rPr>
          <w:rFonts w:hint="eastAsia" w:ascii="仿宋" w:hAnsi="仿宋" w:eastAsia="仿宋" w:cs="仿宋"/>
          <w:sz w:val="24"/>
          <w:szCs w:val="24"/>
          <w:lang w:val="en-US" w:eastAsia="zh-CN"/>
        </w:rPr>
        <w:t>供应商</w:t>
      </w:r>
      <w:r>
        <w:rPr>
          <w:rFonts w:hint="eastAsia" w:ascii="仿宋" w:hAnsi="仿宋" w:eastAsia="仿宋" w:cs="仿宋"/>
          <w:sz w:val="24"/>
          <w:szCs w:val="24"/>
        </w:rPr>
        <w:t>对网上递交的</w:t>
      </w:r>
      <w:r>
        <w:rPr>
          <w:rFonts w:hint="eastAsia" w:ascii="仿宋" w:hAnsi="仿宋" w:eastAsia="仿宋" w:cs="仿宋"/>
          <w:sz w:val="24"/>
          <w:szCs w:val="24"/>
          <w:lang w:val="en-US" w:eastAsia="zh-CN"/>
        </w:rPr>
        <w:t>响应文件</w:t>
      </w:r>
      <w:r>
        <w:rPr>
          <w:rFonts w:hint="eastAsia" w:ascii="仿宋" w:hAnsi="仿宋" w:eastAsia="仿宋" w:cs="仿宋"/>
          <w:sz w:val="24"/>
          <w:szCs w:val="24"/>
        </w:rPr>
        <w:t>应加密。使用数字证书（CA）或登录【中招互连】APP对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文件进行加密功能（如果供应商使用A手机号码对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文件进行了扫码加密，必须需要使用A手机号码进行扫码解密，才能读取或导入</w:t>
      </w: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p>
    <w:p>
      <w:pPr>
        <w:pStyle w:val="3"/>
        <w:spacing w:after="0" w:line="520" w:lineRule="exact"/>
        <w:ind w:left="0" w:right="-198" w:rightChars="-90" w:firstLine="0"/>
        <w:rPr>
          <w:rFonts w:hint="eastAsia" w:ascii="仿宋" w:hAnsi="仿宋" w:eastAsia="仿宋" w:cs="仿宋"/>
          <w:b/>
          <w:sz w:val="24"/>
          <w:szCs w:val="24"/>
        </w:rPr>
      </w:pPr>
      <w:r>
        <w:rPr>
          <w:rFonts w:hint="eastAsia" w:ascii="仿宋" w:hAnsi="仿宋" w:eastAsia="仿宋" w:cs="仿宋"/>
          <w:b/>
          <w:sz w:val="24"/>
          <w:szCs w:val="24"/>
        </w:rPr>
        <w:t>6.资格审查</w:t>
      </w:r>
      <w:bookmarkEnd w:id="9"/>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本次招标采取资格后审方式，开标后由</w:t>
      </w:r>
      <w:r>
        <w:rPr>
          <w:rFonts w:hint="eastAsia" w:ascii="仿宋" w:hAnsi="仿宋" w:eastAsia="仿宋" w:cs="仿宋"/>
          <w:sz w:val="24"/>
          <w:szCs w:val="24"/>
          <w:lang w:val="en-US" w:eastAsia="zh-CN"/>
        </w:rPr>
        <w:t>评审小组</w:t>
      </w:r>
      <w:r>
        <w:rPr>
          <w:rFonts w:hint="eastAsia" w:ascii="仿宋" w:hAnsi="仿宋" w:eastAsia="仿宋" w:cs="仿宋"/>
          <w:sz w:val="24"/>
          <w:szCs w:val="24"/>
        </w:rPr>
        <w:t>统一进行资格审查，详见</w:t>
      </w:r>
      <w:r>
        <w:rPr>
          <w:rFonts w:hint="eastAsia" w:ascii="仿宋" w:hAnsi="仿宋" w:eastAsia="仿宋" w:cs="仿宋"/>
          <w:sz w:val="24"/>
          <w:szCs w:val="24"/>
          <w:lang w:eastAsia="zh-CN"/>
        </w:rPr>
        <w:t>采购文件</w:t>
      </w:r>
      <w:r>
        <w:rPr>
          <w:rFonts w:hint="eastAsia" w:ascii="仿宋" w:hAnsi="仿宋" w:eastAsia="仿宋" w:cs="仿宋"/>
          <w:sz w:val="24"/>
          <w:szCs w:val="24"/>
        </w:rPr>
        <w:t>。资格审查时，</w:t>
      </w:r>
      <w:r>
        <w:rPr>
          <w:rFonts w:hint="eastAsia" w:ascii="仿宋" w:hAnsi="仿宋" w:eastAsia="仿宋" w:cs="仿宋"/>
          <w:sz w:val="24"/>
          <w:szCs w:val="24"/>
          <w:lang w:eastAsia="zh-CN"/>
        </w:rPr>
        <w:t>供应商</w:t>
      </w:r>
      <w:r>
        <w:rPr>
          <w:rFonts w:hint="eastAsia" w:ascii="仿宋" w:hAnsi="仿宋" w:eastAsia="仿宋" w:cs="仿宋"/>
          <w:sz w:val="24"/>
          <w:szCs w:val="24"/>
        </w:rPr>
        <w:t>提供的资料不全或不合格的，均不能通过资格后审，其</w:t>
      </w:r>
      <w:r>
        <w:rPr>
          <w:rFonts w:hint="eastAsia" w:ascii="仿宋" w:hAnsi="仿宋" w:eastAsia="仿宋" w:cs="仿宋"/>
          <w:sz w:val="24"/>
          <w:szCs w:val="24"/>
          <w:lang w:eastAsia="zh-CN"/>
        </w:rPr>
        <w:t>响应文件</w:t>
      </w:r>
      <w:r>
        <w:rPr>
          <w:rFonts w:hint="eastAsia" w:ascii="仿宋" w:hAnsi="仿宋" w:eastAsia="仿宋" w:cs="仿宋"/>
          <w:sz w:val="24"/>
          <w:szCs w:val="24"/>
        </w:rPr>
        <w:t>将被否决。</w:t>
      </w:r>
    </w:p>
    <w:p>
      <w:pPr>
        <w:pStyle w:val="3"/>
        <w:spacing w:after="0" w:line="520" w:lineRule="exact"/>
        <w:ind w:left="-5" w:right="-198" w:rightChars="-90"/>
        <w:rPr>
          <w:rFonts w:hint="eastAsia" w:ascii="仿宋" w:hAnsi="仿宋" w:eastAsia="仿宋" w:cs="仿宋"/>
          <w:b/>
          <w:sz w:val="24"/>
          <w:szCs w:val="24"/>
        </w:rPr>
      </w:pPr>
      <w:bookmarkStart w:id="10" w:name="_Toc4184"/>
      <w:r>
        <w:rPr>
          <w:rFonts w:hint="eastAsia" w:ascii="仿宋" w:hAnsi="仿宋" w:eastAsia="仿宋" w:cs="仿宋"/>
          <w:b/>
          <w:sz w:val="24"/>
          <w:szCs w:val="24"/>
        </w:rPr>
        <w:t>7.截标及开标时间</w:t>
      </w:r>
      <w:bookmarkEnd w:id="10"/>
    </w:p>
    <w:p>
      <w:pPr>
        <w:spacing w:after="0" w:line="520" w:lineRule="exact"/>
        <w:ind w:right="-198" w:rightChars="-90"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上传时间</w:t>
      </w:r>
      <w:r>
        <w:rPr>
          <w:rFonts w:hint="eastAsia" w:ascii="仿宋" w:hAnsi="仿宋" w:eastAsia="仿宋" w:cs="仿宋"/>
          <w:color w:val="auto"/>
          <w:sz w:val="24"/>
          <w:szCs w:val="24"/>
          <w:lang w:eastAsia="zh-CN"/>
        </w:rPr>
        <w:t>2023年10月1</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日～2023年1</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lang w:val="en-US" w:eastAsia="zh-CN"/>
        </w:rPr>
        <w:t>26</w:t>
      </w:r>
      <w:r>
        <w:rPr>
          <w:rFonts w:hint="eastAsia" w:ascii="仿宋" w:hAnsi="仿宋" w:eastAsia="仿宋" w:cs="仿宋"/>
          <w:color w:val="auto"/>
          <w:sz w:val="24"/>
          <w:szCs w:val="24"/>
          <w:lang w:eastAsia="zh-CN"/>
        </w:rPr>
        <w:t>日上午09:30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投标截止时间：2023年10月26日9:30</w:t>
      </w:r>
    </w:p>
    <w:p>
      <w:pPr>
        <w:spacing w:after="0" w:line="520" w:lineRule="exact"/>
        <w:ind w:right="-198" w:rightChars="-90" w:firstLine="480" w:firstLineChars="200"/>
        <w:rPr>
          <w:rFonts w:hint="eastAsia" w:ascii="仿宋" w:hAnsi="仿宋" w:eastAsia="仿宋" w:cs="仿宋"/>
          <w:color w:val="auto"/>
          <w:sz w:val="24"/>
          <w:szCs w:val="24"/>
        </w:rPr>
      </w:pPr>
      <w:bookmarkStart w:id="11" w:name="_Toc8804"/>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标开标时间：2023年10月26日9:30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标解密时间：2023年10月26日9:30～10:00</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8.解密方式及截标开标地点</w:t>
      </w:r>
      <w:bookmarkEnd w:id="11"/>
    </w:p>
    <w:p>
      <w:pPr>
        <w:spacing w:after="0" w:line="520" w:lineRule="exact"/>
        <w:ind w:right="-198" w:rightChars="-90" w:firstLine="420"/>
        <w:rPr>
          <w:rFonts w:hint="eastAsia" w:ascii="仿宋" w:hAnsi="仿宋" w:eastAsia="仿宋" w:cs="仿宋"/>
          <w:color w:val="auto"/>
          <w:sz w:val="24"/>
          <w:szCs w:val="24"/>
        </w:rPr>
      </w:pPr>
      <w:bookmarkStart w:id="12" w:name="_Toc15241"/>
      <w:r>
        <w:rPr>
          <w:rFonts w:hint="eastAsia" w:ascii="仿宋" w:hAnsi="仿宋" w:eastAsia="仿宋" w:cs="仿宋"/>
          <w:color w:val="auto"/>
          <w:sz w:val="24"/>
          <w:szCs w:val="24"/>
        </w:rPr>
        <w:t>电脑环境要求：（1）操作系统：Windows 7 、10；（2）浏览器：Internet Explorer 11、10（以管理员身份运行）或360安全浏览器；（3）办公软件：Microsoft Office 2007或WPS2019个人版；（4）PDF软件推荐： Adobe Reader。</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1、开标前签到流程：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2、远程解密流程：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于递交</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需保持电脑网络通畅）。</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3、解密后报价确认流程：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进入【网上开标】菜单→进入开标厅→点击“点此签字”按钮→点击右上角“签字“按钮→自动在签到表加盖法人章→最后点击“保存”按钮。</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4、二次报价流程</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不适用，本次询比采购不采用二轮报价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进入【网上评标】菜单→进入“应答室”→“点此报价”按钮→填写报价→提交报价确认表签字→进入“应答室”→“点此签字”按钮→点击右上角“签字”按钮→自动在最终报价记录表加盖法人章→最后点击“保存”按钮。</w:t>
      </w:r>
    </w:p>
    <w:p>
      <w:pPr>
        <w:spacing w:after="0" w:line="520" w:lineRule="exact"/>
        <w:ind w:right="-198" w:rightChars="-90" w:firstLine="439" w:firstLineChars="183"/>
        <w:rPr>
          <w:rFonts w:hint="eastAsia" w:ascii="仿宋" w:hAnsi="仿宋" w:eastAsia="仿宋" w:cs="仿宋"/>
          <w:sz w:val="24"/>
          <w:szCs w:val="24"/>
        </w:rPr>
      </w:pPr>
      <w:r>
        <w:rPr>
          <w:rFonts w:hint="eastAsia" w:ascii="仿宋" w:hAnsi="仿宋" w:eastAsia="仿宋" w:cs="仿宋"/>
          <w:sz w:val="24"/>
          <w:szCs w:val="24"/>
          <w:highlight w:val="none"/>
        </w:rPr>
        <w:t>请供应商按公告时间及时参与相关签到、解密及确认等工作，签到、解密及确认过程中有任何问题请及时联系技术支持解决（</w:t>
      </w:r>
      <w:r>
        <w:rPr>
          <w:rFonts w:hint="eastAsia" w:ascii="仿宋" w:hAnsi="仿宋" w:eastAsia="仿宋" w:cs="仿宋"/>
          <w:bCs/>
          <w:sz w:val="24"/>
          <w:szCs w:val="24"/>
        </w:rPr>
        <w:t>平台联系电话：400-9913-966支持及在线客服支持</w:t>
      </w:r>
      <w:r>
        <w:rPr>
          <w:rFonts w:hint="eastAsia" w:ascii="仿宋" w:hAnsi="仿宋" w:eastAsia="仿宋" w:cs="仿宋"/>
          <w:sz w:val="24"/>
          <w:szCs w:val="24"/>
          <w:highlight w:val="none"/>
        </w:rPr>
        <w:t>），因供应商原因未在规定时间内解密、确认响应性文件的，视为供应商撤销其响应性文件。</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000000"/>
          <w:sz w:val="24"/>
          <w:szCs w:val="24"/>
        </w:rPr>
        <w:t>开标地点：</w:t>
      </w:r>
      <w:r>
        <w:rPr>
          <w:rFonts w:hint="eastAsia" w:ascii="仿宋" w:hAnsi="仿宋" w:eastAsia="仿宋" w:cs="仿宋"/>
          <w:color w:val="auto"/>
          <w:sz w:val="24"/>
          <w:szCs w:val="24"/>
        </w:rPr>
        <w:t>内蒙古电子招标投标交易平台（巴彦淖尔）</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详细地址：内蒙古巴彦淖尔市临河区胜利路18号蓝宇饭店7楼开标室</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如果截标或开标时间及地点有改变，招标机构将提前通知，逾期提交的</w:t>
      </w:r>
      <w:r>
        <w:rPr>
          <w:rFonts w:hint="eastAsia" w:ascii="仿宋" w:hAnsi="仿宋" w:eastAsia="仿宋" w:cs="仿宋"/>
          <w:sz w:val="24"/>
          <w:szCs w:val="24"/>
          <w:lang w:eastAsia="zh-CN"/>
        </w:rPr>
        <w:t>响应文件</w:t>
      </w:r>
      <w:r>
        <w:rPr>
          <w:rFonts w:hint="eastAsia" w:ascii="仿宋" w:hAnsi="仿宋" w:eastAsia="仿宋" w:cs="仿宋"/>
          <w:sz w:val="24"/>
          <w:szCs w:val="24"/>
        </w:rPr>
        <w:t>将不予受理。</w:t>
      </w:r>
    </w:p>
    <w:p>
      <w:pPr>
        <w:pStyle w:val="3"/>
        <w:spacing w:after="0" w:line="520" w:lineRule="exact"/>
        <w:ind w:left="-5" w:right="-198" w:rightChars="-90"/>
        <w:rPr>
          <w:rFonts w:hint="eastAsia" w:ascii="仿宋" w:hAnsi="仿宋" w:eastAsia="仿宋" w:cs="仿宋"/>
          <w:b/>
          <w:color w:val="auto"/>
          <w:sz w:val="24"/>
          <w:szCs w:val="24"/>
        </w:rPr>
      </w:pPr>
      <w:r>
        <w:rPr>
          <w:rFonts w:hint="eastAsia" w:ascii="仿宋" w:hAnsi="仿宋" w:eastAsia="仿宋" w:cs="仿宋"/>
          <w:b/>
          <w:color w:val="auto"/>
          <w:sz w:val="24"/>
          <w:szCs w:val="24"/>
        </w:rPr>
        <w:t>9.</w:t>
      </w:r>
      <w:r>
        <w:rPr>
          <w:rFonts w:hint="eastAsia" w:ascii="仿宋" w:hAnsi="仿宋" w:eastAsia="仿宋" w:cs="仿宋"/>
          <w:b/>
          <w:color w:val="auto"/>
          <w:sz w:val="24"/>
          <w:szCs w:val="24"/>
          <w:lang w:val="en-US" w:eastAsia="zh-CN"/>
        </w:rPr>
        <w:t>采购</w:t>
      </w:r>
      <w:r>
        <w:rPr>
          <w:rFonts w:hint="eastAsia" w:ascii="仿宋" w:hAnsi="仿宋" w:eastAsia="仿宋" w:cs="仿宋"/>
          <w:b/>
          <w:color w:val="auto"/>
          <w:sz w:val="24"/>
          <w:szCs w:val="24"/>
        </w:rPr>
        <w:t>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bookmarkStart w:id="13" w:name="_Toc495645075"/>
      <w:bookmarkStart w:id="14" w:name="_Toc13484"/>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平台使用费：本项目采用全流程电子招投标，每标段每家供应商需上传响应文件前在线向电子交易平台缴纳电子投标服务费。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中标服务费：中标服务费由</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支付，</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须向采购代理机构按如下标准和规定交纳中标服务费。</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中标</w:t>
      </w:r>
      <w:r>
        <w:rPr>
          <w:rFonts w:hint="eastAsia" w:ascii="仿宋" w:hAnsi="仿宋" w:eastAsia="仿宋" w:cs="仿宋"/>
          <w:sz w:val="24"/>
          <w:szCs w:val="24"/>
          <w:highlight w:val="none"/>
        </w:rPr>
        <w:t>服务费金额：以</w:t>
      </w:r>
      <w:r>
        <w:rPr>
          <w:rFonts w:hint="eastAsia" w:ascii="仿宋" w:hAnsi="仿宋" w:eastAsia="仿宋" w:cs="仿宋"/>
          <w:sz w:val="24"/>
          <w:szCs w:val="24"/>
          <w:highlight w:val="none"/>
          <w:lang w:val="en-US" w:eastAsia="zh-CN"/>
        </w:rPr>
        <w:t>成交人</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价为基数，参照内蒙古自治区工程建设协会《关于印发内蒙古自治区工程建设采购代理服务收费指导意见的通知》（内工建协﹝2022﹞34号）文件规定的标准收费。中标服务费=按本指导标准计算收费*折扣率，其中，折扣率为92%。详见</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文件附件；</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（2）中标服务费支付方式：招标完成，发出中标通知书前一次性支付。</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（3）中标服务费交纳形式：电汇、银行转账、现金均可。</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中标服务费汇款账户：</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开户行：中国建设银行北京丰岳支行</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帐  号：11050165530000000040</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户  名：北京市建壮咨询有限公司</w:t>
      </w:r>
    </w:p>
    <w:p>
      <w:pPr>
        <w:spacing w:after="0" w:line="520" w:lineRule="exact"/>
        <w:ind w:right="-198" w:rightChars="-90"/>
        <w:rPr>
          <w:rFonts w:hint="eastAsia" w:ascii="仿宋" w:hAnsi="仿宋" w:eastAsia="仿宋" w:cs="仿宋"/>
          <w:b/>
          <w:bCs/>
          <w:color w:val="auto"/>
          <w:sz w:val="24"/>
          <w:szCs w:val="24"/>
        </w:rPr>
      </w:pPr>
      <w:r>
        <w:rPr>
          <w:rFonts w:hint="eastAsia" w:ascii="仿宋" w:hAnsi="仿宋" w:eastAsia="仿宋" w:cs="仿宋"/>
          <w:b/>
          <w:bCs/>
          <w:color w:val="auto"/>
          <w:sz w:val="24"/>
          <w:szCs w:val="24"/>
        </w:rPr>
        <w:t>10. 发布公告的媒介</w:t>
      </w:r>
      <w:bookmarkEnd w:id="13"/>
      <w:bookmarkEnd w:id="14"/>
      <w:r>
        <w:rPr>
          <w:rFonts w:hint="eastAsia" w:ascii="仿宋" w:hAnsi="仿宋" w:eastAsia="仿宋" w:cs="仿宋"/>
          <w:b/>
          <w:bCs/>
          <w:color w:val="auto"/>
          <w:sz w:val="24"/>
          <w:szCs w:val="24"/>
        </w:rPr>
        <w:t xml:space="preserve"> </w:t>
      </w:r>
    </w:p>
    <w:p>
      <w:pPr>
        <w:spacing w:after="0" w:line="520" w:lineRule="exact"/>
        <w:ind w:right="-198" w:rightChars="-90" w:firstLine="420"/>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本次采购公告同时在中国招标投标公共服务平台（www.cebpubservice.com）、内蒙古招标投标公共服务平台（http://zbgg.nmgztb.com.cn）、内蒙古电力集团电子采购系统（http://guocai-impc.cppchina.cn）上发布。其它媒介转发无效。 </w:t>
      </w:r>
    </w:p>
    <w:p>
      <w:pPr>
        <w:spacing w:after="0" w:line="520" w:lineRule="exact"/>
        <w:ind w:right="-198" w:rightChars="-90"/>
        <w:rPr>
          <w:rFonts w:hint="eastAsia" w:ascii="仿宋" w:hAnsi="仿宋" w:eastAsia="仿宋" w:cs="仿宋"/>
          <w:color w:val="auto"/>
          <w:sz w:val="24"/>
          <w:szCs w:val="24"/>
        </w:rPr>
      </w:pPr>
      <w:r>
        <w:rPr>
          <w:rFonts w:hint="eastAsia" w:ascii="仿宋" w:hAnsi="仿宋" w:eastAsia="仿宋" w:cs="仿宋"/>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采购代理机构：北京市建壮咨询有限公司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人：孙雪妍、张春辉</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电子邮件：664502158@qq.com</w:t>
      </w:r>
    </w:p>
    <w:p>
      <w:pPr>
        <w:rPr>
          <w:rFonts w:hint="eastAsia" w:ascii="仿宋" w:hAnsi="仿宋" w:eastAsia="仿宋" w:cs="仿宋"/>
        </w:rPr>
      </w:pPr>
    </w:p>
    <w:sectPr>
      <w:pgSz w:w="11906" w:h="16838"/>
      <w:pgMar w:top="1440" w:right="1312" w:bottom="1440" w:left="179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C34A1"/>
    <w:multiLevelType w:val="singleLevel"/>
    <w:tmpl w:val="B4AC34A1"/>
    <w:lvl w:ilvl="0" w:tentative="0">
      <w:start w:val="9"/>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5M2VhMzBlNzYyZTVmZGMxMzQ1NThjYTE2NmQ1ZjQifQ=="/>
  </w:docVars>
  <w:rsids>
    <w:rsidRoot w:val="00E7602C"/>
    <w:rsid w:val="00012424"/>
    <w:rsid w:val="00026AAC"/>
    <w:rsid w:val="00036710"/>
    <w:rsid w:val="00037692"/>
    <w:rsid w:val="00043D01"/>
    <w:rsid w:val="00056DC4"/>
    <w:rsid w:val="00065B8A"/>
    <w:rsid w:val="00085D10"/>
    <w:rsid w:val="000B0D4D"/>
    <w:rsid w:val="000B72E2"/>
    <w:rsid w:val="000D5F11"/>
    <w:rsid w:val="001064A7"/>
    <w:rsid w:val="00114A19"/>
    <w:rsid w:val="00137757"/>
    <w:rsid w:val="001B3886"/>
    <w:rsid w:val="001D401C"/>
    <w:rsid w:val="0022596B"/>
    <w:rsid w:val="00237A7B"/>
    <w:rsid w:val="002413DE"/>
    <w:rsid w:val="00245802"/>
    <w:rsid w:val="00255DB2"/>
    <w:rsid w:val="00273D39"/>
    <w:rsid w:val="00287317"/>
    <w:rsid w:val="002878F0"/>
    <w:rsid w:val="002A7B58"/>
    <w:rsid w:val="002D0AB3"/>
    <w:rsid w:val="002D6D4B"/>
    <w:rsid w:val="0031486D"/>
    <w:rsid w:val="00331FFD"/>
    <w:rsid w:val="003565C4"/>
    <w:rsid w:val="003A011F"/>
    <w:rsid w:val="003A794B"/>
    <w:rsid w:val="003B03FB"/>
    <w:rsid w:val="003C2739"/>
    <w:rsid w:val="003C7E8B"/>
    <w:rsid w:val="003D1AAE"/>
    <w:rsid w:val="003E7E9F"/>
    <w:rsid w:val="00402687"/>
    <w:rsid w:val="00424396"/>
    <w:rsid w:val="00443541"/>
    <w:rsid w:val="0046375D"/>
    <w:rsid w:val="00472CE3"/>
    <w:rsid w:val="0047338C"/>
    <w:rsid w:val="00477C14"/>
    <w:rsid w:val="004C4210"/>
    <w:rsid w:val="004C762C"/>
    <w:rsid w:val="004E001E"/>
    <w:rsid w:val="004E399B"/>
    <w:rsid w:val="00567D3E"/>
    <w:rsid w:val="00575FEF"/>
    <w:rsid w:val="005B4D4C"/>
    <w:rsid w:val="005E1ACA"/>
    <w:rsid w:val="00666A01"/>
    <w:rsid w:val="006E7B13"/>
    <w:rsid w:val="006F13DC"/>
    <w:rsid w:val="006F665F"/>
    <w:rsid w:val="00706214"/>
    <w:rsid w:val="007F3017"/>
    <w:rsid w:val="00815075"/>
    <w:rsid w:val="00815F9F"/>
    <w:rsid w:val="00863D95"/>
    <w:rsid w:val="00872C58"/>
    <w:rsid w:val="008D5ACC"/>
    <w:rsid w:val="008F7B61"/>
    <w:rsid w:val="0097120B"/>
    <w:rsid w:val="00995D3C"/>
    <w:rsid w:val="009B03E3"/>
    <w:rsid w:val="009E448F"/>
    <w:rsid w:val="00A145C3"/>
    <w:rsid w:val="00A31BD1"/>
    <w:rsid w:val="00A838E8"/>
    <w:rsid w:val="00AC3222"/>
    <w:rsid w:val="00AC5817"/>
    <w:rsid w:val="00B01E68"/>
    <w:rsid w:val="00B07C9D"/>
    <w:rsid w:val="00B17701"/>
    <w:rsid w:val="00BB1AC6"/>
    <w:rsid w:val="00BF2760"/>
    <w:rsid w:val="00C05FBB"/>
    <w:rsid w:val="00C41FD8"/>
    <w:rsid w:val="00C42EB4"/>
    <w:rsid w:val="00C4689E"/>
    <w:rsid w:val="00C565A2"/>
    <w:rsid w:val="00C63214"/>
    <w:rsid w:val="00C8259D"/>
    <w:rsid w:val="00C87C23"/>
    <w:rsid w:val="00C95AD9"/>
    <w:rsid w:val="00CA281D"/>
    <w:rsid w:val="00CB3EF0"/>
    <w:rsid w:val="00CB65A9"/>
    <w:rsid w:val="00CC4440"/>
    <w:rsid w:val="00D03E02"/>
    <w:rsid w:val="00D71059"/>
    <w:rsid w:val="00D94BE7"/>
    <w:rsid w:val="00D9631A"/>
    <w:rsid w:val="00DA42CE"/>
    <w:rsid w:val="00DB3E0C"/>
    <w:rsid w:val="00DF10F5"/>
    <w:rsid w:val="00E23493"/>
    <w:rsid w:val="00E35DC3"/>
    <w:rsid w:val="00E64781"/>
    <w:rsid w:val="00E7602C"/>
    <w:rsid w:val="00E82EB0"/>
    <w:rsid w:val="00EA2534"/>
    <w:rsid w:val="00EA74D2"/>
    <w:rsid w:val="00F11F5A"/>
    <w:rsid w:val="00F3233B"/>
    <w:rsid w:val="00F349DA"/>
    <w:rsid w:val="00F53E3E"/>
    <w:rsid w:val="00F75957"/>
    <w:rsid w:val="00F77D9B"/>
    <w:rsid w:val="00FF4568"/>
    <w:rsid w:val="02A1499E"/>
    <w:rsid w:val="02E1151B"/>
    <w:rsid w:val="05300538"/>
    <w:rsid w:val="05687CD1"/>
    <w:rsid w:val="0588243E"/>
    <w:rsid w:val="05D57BC8"/>
    <w:rsid w:val="068D00EC"/>
    <w:rsid w:val="077F2F92"/>
    <w:rsid w:val="07DD5F85"/>
    <w:rsid w:val="07FC0BA5"/>
    <w:rsid w:val="080952C5"/>
    <w:rsid w:val="084B3702"/>
    <w:rsid w:val="087370B9"/>
    <w:rsid w:val="08DE2A0A"/>
    <w:rsid w:val="09B63701"/>
    <w:rsid w:val="09EB2C7F"/>
    <w:rsid w:val="0B3472AA"/>
    <w:rsid w:val="0B446AEB"/>
    <w:rsid w:val="0B4D72D0"/>
    <w:rsid w:val="0B776EC0"/>
    <w:rsid w:val="0B8B6B89"/>
    <w:rsid w:val="0DF540CC"/>
    <w:rsid w:val="0E3C1B52"/>
    <w:rsid w:val="0EDB20DB"/>
    <w:rsid w:val="0F0A004B"/>
    <w:rsid w:val="0F1437B9"/>
    <w:rsid w:val="10E81FC2"/>
    <w:rsid w:val="112D142A"/>
    <w:rsid w:val="115A16F3"/>
    <w:rsid w:val="117D68B3"/>
    <w:rsid w:val="11F23F00"/>
    <w:rsid w:val="12D61330"/>
    <w:rsid w:val="130460A0"/>
    <w:rsid w:val="13376489"/>
    <w:rsid w:val="140908D1"/>
    <w:rsid w:val="14612734"/>
    <w:rsid w:val="152A6D51"/>
    <w:rsid w:val="16361726"/>
    <w:rsid w:val="163A4E5D"/>
    <w:rsid w:val="181B25E1"/>
    <w:rsid w:val="18424507"/>
    <w:rsid w:val="18C60BAD"/>
    <w:rsid w:val="192B4E46"/>
    <w:rsid w:val="19A34627"/>
    <w:rsid w:val="19C808E7"/>
    <w:rsid w:val="1A4F5F72"/>
    <w:rsid w:val="1B06391B"/>
    <w:rsid w:val="1B1D2083"/>
    <w:rsid w:val="1B605817"/>
    <w:rsid w:val="1B851185"/>
    <w:rsid w:val="1BDF0346"/>
    <w:rsid w:val="1C145E41"/>
    <w:rsid w:val="1C571C5E"/>
    <w:rsid w:val="1CFF3E6C"/>
    <w:rsid w:val="1D790876"/>
    <w:rsid w:val="1DBB15DE"/>
    <w:rsid w:val="1E0D5029"/>
    <w:rsid w:val="1EB51D82"/>
    <w:rsid w:val="20102DED"/>
    <w:rsid w:val="220B3A67"/>
    <w:rsid w:val="226705B6"/>
    <w:rsid w:val="24527B90"/>
    <w:rsid w:val="247E3C49"/>
    <w:rsid w:val="24D10F97"/>
    <w:rsid w:val="25120D2E"/>
    <w:rsid w:val="253255EE"/>
    <w:rsid w:val="25CC175F"/>
    <w:rsid w:val="26A60202"/>
    <w:rsid w:val="26EB3E67"/>
    <w:rsid w:val="28397DA0"/>
    <w:rsid w:val="28D23530"/>
    <w:rsid w:val="29A46CB7"/>
    <w:rsid w:val="29B258CF"/>
    <w:rsid w:val="29C73B50"/>
    <w:rsid w:val="2A542902"/>
    <w:rsid w:val="2BA70CA4"/>
    <w:rsid w:val="2BB06E8F"/>
    <w:rsid w:val="2CE64E70"/>
    <w:rsid w:val="2D3227EF"/>
    <w:rsid w:val="2E652751"/>
    <w:rsid w:val="2EF37F67"/>
    <w:rsid w:val="2F3B1E2F"/>
    <w:rsid w:val="300A0FFE"/>
    <w:rsid w:val="30144CFE"/>
    <w:rsid w:val="30E7662C"/>
    <w:rsid w:val="31240DEB"/>
    <w:rsid w:val="315E1E05"/>
    <w:rsid w:val="31B41B0F"/>
    <w:rsid w:val="320C5AB5"/>
    <w:rsid w:val="32717916"/>
    <w:rsid w:val="3292181F"/>
    <w:rsid w:val="337A27F2"/>
    <w:rsid w:val="34763909"/>
    <w:rsid w:val="35365E32"/>
    <w:rsid w:val="35E54166"/>
    <w:rsid w:val="36161906"/>
    <w:rsid w:val="36323860"/>
    <w:rsid w:val="37D03331"/>
    <w:rsid w:val="37FC4126"/>
    <w:rsid w:val="39B20F40"/>
    <w:rsid w:val="3A886145"/>
    <w:rsid w:val="3B76362C"/>
    <w:rsid w:val="3C8A1D00"/>
    <w:rsid w:val="3C9B215F"/>
    <w:rsid w:val="3D0D2931"/>
    <w:rsid w:val="3D4C7C8E"/>
    <w:rsid w:val="3DF2080B"/>
    <w:rsid w:val="3E676AF4"/>
    <w:rsid w:val="403D352D"/>
    <w:rsid w:val="40A1242A"/>
    <w:rsid w:val="40D56D65"/>
    <w:rsid w:val="41036525"/>
    <w:rsid w:val="41175B2C"/>
    <w:rsid w:val="41BD2C17"/>
    <w:rsid w:val="42605C29"/>
    <w:rsid w:val="435B0941"/>
    <w:rsid w:val="437D0DD2"/>
    <w:rsid w:val="44FE64D4"/>
    <w:rsid w:val="45760B3D"/>
    <w:rsid w:val="45993017"/>
    <w:rsid w:val="459A7202"/>
    <w:rsid w:val="45DA13AF"/>
    <w:rsid w:val="4642189D"/>
    <w:rsid w:val="470568EB"/>
    <w:rsid w:val="47763A42"/>
    <w:rsid w:val="483416BA"/>
    <w:rsid w:val="484511D1"/>
    <w:rsid w:val="485A4D8F"/>
    <w:rsid w:val="487B2177"/>
    <w:rsid w:val="487B78EB"/>
    <w:rsid w:val="49A87C69"/>
    <w:rsid w:val="4AE43F22"/>
    <w:rsid w:val="4B3D6543"/>
    <w:rsid w:val="4B475260"/>
    <w:rsid w:val="4B4E2A92"/>
    <w:rsid w:val="4B7F2C4C"/>
    <w:rsid w:val="4C3E68E8"/>
    <w:rsid w:val="4DFC4A28"/>
    <w:rsid w:val="4F0C0514"/>
    <w:rsid w:val="4FDC68BF"/>
    <w:rsid w:val="4FFC0D0F"/>
    <w:rsid w:val="5009088D"/>
    <w:rsid w:val="50647271"/>
    <w:rsid w:val="50E931F7"/>
    <w:rsid w:val="52252107"/>
    <w:rsid w:val="528B1752"/>
    <w:rsid w:val="52EE6F55"/>
    <w:rsid w:val="536A41E2"/>
    <w:rsid w:val="53BC2E44"/>
    <w:rsid w:val="54715E3C"/>
    <w:rsid w:val="547E6196"/>
    <w:rsid w:val="54C33771"/>
    <w:rsid w:val="555727F8"/>
    <w:rsid w:val="558B55B3"/>
    <w:rsid w:val="55AA05EB"/>
    <w:rsid w:val="57C9118A"/>
    <w:rsid w:val="57FF4D97"/>
    <w:rsid w:val="580F5357"/>
    <w:rsid w:val="582A414E"/>
    <w:rsid w:val="58A5704A"/>
    <w:rsid w:val="58F85DEC"/>
    <w:rsid w:val="5901024B"/>
    <w:rsid w:val="593E4146"/>
    <w:rsid w:val="59575208"/>
    <w:rsid w:val="5A230A32"/>
    <w:rsid w:val="5A461504"/>
    <w:rsid w:val="5A867B53"/>
    <w:rsid w:val="5B952CE4"/>
    <w:rsid w:val="5B9B7EA0"/>
    <w:rsid w:val="5BA8711F"/>
    <w:rsid w:val="5BBC75A4"/>
    <w:rsid w:val="5C1B746C"/>
    <w:rsid w:val="5E826883"/>
    <w:rsid w:val="5FF11F12"/>
    <w:rsid w:val="60A07495"/>
    <w:rsid w:val="61062192"/>
    <w:rsid w:val="61C66DD1"/>
    <w:rsid w:val="61ED30F8"/>
    <w:rsid w:val="63F05391"/>
    <w:rsid w:val="64504D2E"/>
    <w:rsid w:val="64825C3F"/>
    <w:rsid w:val="64C72574"/>
    <w:rsid w:val="6515241B"/>
    <w:rsid w:val="65191460"/>
    <w:rsid w:val="66AA4BC9"/>
    <w:rsid w:val="66C03DFC"/>
    <w:rsid w:val="66C20A98"/>
    <w:rsid w:val="67145900"/>
    <w:rsid w:val="67E23181"/>
    <w:rsid w:val="680A4377"/>
    <w:rsid w:val="6887012A"/>
    <w:rsid w:val="69B21220"/>
    <w:rsid w:val="6A503CD9"/>
    <w:rsid w:val="6A570BC4"/>
    <w:rsid w:val="6B1C4953"/>
    <w:rsid w:val="6B271FB6"/>
    <w:rsid w:val="6B38746F"/>
    <w:rsid w:val="6BF01CF8"/>
    <w:rsid w:val="6C420A97"/>
    <w:rsid w:val="6D806684"/>
    <w:rsid w:val="6E501C9F"/>
    <w:rsid w:val="6E7A1325"/>
    <w:rsid w:val="6F695C3B"/>
    <w:rsid w:val="6FB70357"/>
    <w:rsid w:val="705272BE"/>
    <w:rsid w:val="70AC7FE9"/>
    <w:rsid w:val="712A4F22"/>
    <w:rsid w:val="71780990"/>
    <w:rsid w:val="71C72AD3"/>
    <w:rsid w:val="7249798C"/>
    <w:rsid w:val="72E9328A"/>
    <w:rsid w:val="75210C59"/>
    <w:rsid w:val="75843DDF"/>
    <w:rsid w:val="76505A1C"/>
    <w:rsid w:val="76704E71"/>
    <w:rsid w:val="76825F01"/>
    <w:rsid w:val="76921519"/>
    <w:rsid w:val="776A0F6C"/>
    <w:rsid w:val="779B7915"/>
    <w:rsid w:val="77F35CA4"/>
    <w:rsid w:val="7819395D"/>
    <w:rsid w:val="78932EB8"/>
    <w:rsid w:val="789E0306"/>
    <w:rsid w:val="78CC247A"/>
    <w:rsid w:val="79015C35"/>
    <w:rsid w:val="79687845"/>
    <w:rsid w:val="79D0049C"/>
    <w:rsid w:val="7A1C5E4F"/>
    <w:rsid w:val="7AFD5319"/>
    <w:rsid w:val="7B1C2533"/>
    <w:rsid w:val="7B374FE9"/>
    <w:rsid w:val="7CAD4FBB"/>
    <w:rsid w:val="7D6B4415"/>
    <w:rsid w:val="7D8775BA"/>
    <w:rsid w:val="7F402431"/>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link w:val="12"/>
    <w:unhideWhenUsed/>
    <w:qFormat/>
    <w:uiPriority w:val="0"/>
    <w:pPr>
      <w:keepNext/>
      <w:keepLines/>
      <w:spacing w:after="503" w:line="265" w:lineRule="auto"/>
      <w:ind w:left="10" w:right="56" w:hanging="10"/>
      <w:outlineLvl w:val="1"/>
    </w:pPr>
    <w:rPr>
      <w:rFonts w:ascii="黑体" w:hAnsi="黑体" w:eastAsia="黑体" w:cs="黑体"/>
      <w:sz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5">
    <w:name w:val="Normal Indent"/>
    <w:basedOn w:val="1"/>
    <w:link w:val="17"/>
    <w:unhideWhenUsed/>
    <w:qFormat/>
    <w:uiPriority w:val="99"/>
    <w:pPr>
      <w:ind w:firstLine="420" w:firstLineChars="200"/>
    </w:pPr>
  </w:style>
  <w:style w:type="paragraph" w:styleId="6">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pPr>
    <w:rPr>
      <w:rFonts w:ascii="宋体" w:hAnsi="宋体" w:cs="宋体"/>
      <w:kern w:val="0"/>
      <w:sz w:val="24"/>
    </w:rPr>
  </w:style>
  <w:style w:type="character" w:styleId="11">
    <w:name w:val="Hyperlink"/>
    <w:basedOn w:val="10"/>
    <w:unhideWhenUsed/>
    <w:qFormat/>
    <w:uiPriority w:val="99"/>
    <w:rPr>
      <w:color w:val="0000FF" w:themeColor="hyperlink"/>
      <w:u w:val="single"/>
    </w:rPr>
  </w:style>
  <w:style w:type="character" w:customStyle="1" w:styleId="12">
    <w:name w:val="标题 2 Char"/>
    <w:basedOn w:val="10"/>
    <w:link w:val="3"/>
    <w:qFormat/>
    <w:uiPriority w:val="0"/>
    <w:rPr>
      <w:rFonts w:ascii="黑体" w:hAnsi="黑体" w:eastAsia="黑体" w:cs="黑体"/>
      <w:color w:val="000000"/>
      <w:sz w:val="32"/>
    </w:rPr>
  </w:style>
  <w:style w:type="character" w:customStyle="1" w:styleId="13">
    <w:name w:val="页眉 Char"/>
    <w:basedOn w:val="10"/>
    <w:link w:val="7"/>
    <w:qFormat/>
    <w:uiPriority w:val="99"/>
    <w:rPr>
      <w:rFonts w:ascii="Calibri" w:hAnsi="Calibri" w:eastAsia="Calibri" w:cs="Calibri"/>
      <w:color w:val="000000"/>
      <w:sz w:val="18"/>
      <w:szCs w:val="18"/>
    </w:rPr>
  </w:style>
  <w:style w:type="character" w:customStyle="1" w:styleId="14">
    <w:name w:val="页脚 Char"/>
    <w:basedOn w:val="10"/>
    <w:link w:val="6"/>
    <w:qFormat/>
    <w:uiPriority w:val="99"/>
    <w:rPr>
      <w:rFonts w:ascii="Calibri" w:hAnsi="Calibri" w:eastAsia="Calibri" w:cs="Calibri"/>
      <w:color w:val="000000"/>
      <w:sz w:val="18"/>
      <w:szCs w:val="18"/>
    </w:rPr>
  </w:style>
  <w:style w:type="paragraph" w:styleId="15">
    <w:name w:val="List Paragraph"/>
    <w:basedOn w:val="1"/>
    <w:unhideWhenUsed/>
    <w:qFormat/>
    <w:uiPriority w:val="99"/>
    <w:pPr>
      <w:ind w:firstLine="420" w:firstLineChars="200"/>
    </w:pPr>
  </w:style>
  <w:style w:type="character" w:customStyle="1" w:styleId="16">
    <w:name w:val="标题 3 Char"/>
    <w:basedOn w:val="10"/>
    <w:link w:val="4"/>
    <w:semiHidden/>
    <w:qFormat/>
    <w:uiPriority w:val="9"/>
    <w:rPr>
      <w:rFonts w:ascii="Calibri" w:hAnsi="Calibri" w:eastAsia="Calibri" w:cs="Calibri"/>
      <w:b/>
      <w:bCs/>
      <w:color w:val="000000"/>
      <w:kern w:val="2"/>
      <w:sz w:val="32"/>
      <w:szCs w:val="32"/>
    </w:rPr>
  </w:style>
  <w:style w:type="character" w:customStyle="1" w:styleId="17">
    <w:name w:val="正文缩进 Char"/>
    <w:link w:val="5"/>
    <w:qFormat/>
    <w:uiPriority w:val="99"/>
    <w:rPr>
      <w:rFonts w:ascii="Calibri" w:hAnsi="Calibri" w:eastAsia="Calibri" w:cs="Calibri"/>
      <w:color w:val="000000"/>
      <w:kern w:val="2"/>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4329</Words>
  <Characters>5001</Characters>
  <Lines>43</Lines>
  <Paragraphs>12</Paragraphs>
  <TotalTime>1</TotalTime>
  <ScaleCrop>false</ScaleCrop>
  <LinksUpToDate>false</LinksUpToDate>
  <CharactersWithSpaces>5423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2020-01-19T08:23:00Z</dcterms:created>
  <dc:creator>CJ</dc:creator>
  <cp:lastModifiedBy> 木木 </cp:lastModifiedBy>
  <dcterms:modified xsi:type="dcterms:W3CDTF">2023-10-16T13:28:45Z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4681935842A4453DBA8D731D304E7A8B</vt:lpwstr>
  </property>
</Properties>
</file>